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CE53" w14:textId="77777777" w:rsidR="00B26843" w:rsidRDefault="00000000">
      <w:pPr>
        <w:tabs>
          <w:tab w:val="left" w:pos="6862"/>
        </w:tabs>
        <w:ind w:left="266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57E3CE9E" wp14:editId="57E3CE9F">
            <wp:extent cx="1761117" cy="7223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117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7E3CEA0" wp14:editId="57E3CEA1">
            <wp:extent cx="1623358" cy="6903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58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3CE54" w14:textId="77777777" w:rsidR="00B26843" w:rsidRDefault="00B26843">
      <w:pPr>
        <w:pStyle w:val="BodyText"/>
        <w:spacing w:before="10"/>
        <w:ind w:left="0"/>
        <w:rPr>
          <w:rFonts w:ascii="Times New Roman"/>
          <w:sz w:val="19"/>
        </w:rPr>
      </w:pPr>
    </w:p>
    <w:p w14:paraId="57E3CE55" w14:textId="77777777" w:rsidR="00B26843" w:rsidRDefault="00B26843">
      <w:pPr>
        <w:rPr>
          <w:rFonts w:ascii="Times New Roman"/>
          <w:sz w:val="19"/>
        </w:rPr>
        <w:sectPr w:rsidR="00B26843">
          <w:type w:val="continuous"/>
          <w:pgSz w:w="11920" w:h="16850"/>
          <w:pgMar w:top="260" w:right="1140" w:bottom="280" w:left="1020" w:header="720" w:footer="720" w:gutter="0"/>
          <w:cols w:space="720"/>
        </w:sectPr>
      </w:pPr>
    </w:p>
    <w:p w14:paraId="57E3CE56" w14:textId="77777777" w:rsidR="00B26843" w:rsidRDefault="00000000">
      <w:pPr>
        <w:pStyle w:val="Title"/>
      </w:pPr>
      <w:r>
        <w:t>Referral</w:t>
      </w:r>
      <w:r>
        <w:rPr>
          <w:spacing w:val="-11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rPr>
          <w:spacing w:val="-2"/>
        </w:rPr>
        <w:t>Service</w:t>
      </w:r>
    </w:p>
    <w:p w14:paraId="57E3CE57" w14:textId="77777777" w:rsidR="00B26843" w:rsidRDefault="00000000">
      <w:pPr>
        <w:spacing w:before="362"/>
        <w:ind w:left="113"/>
        <w:rPr>
          <w:b/>
          <w:sz w:val="28"/>
        </w:rPr>
      </w:pPr>
      <w:r>
        <w:rPr>
          <w:b/>
          <w:sz w:val="28"/>
        </w:rPr>
        <w:t>ENT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09</w:t>
      </w:r>
    </w:p>
    <w:p w14:paraId="57E3CE58" w14:textId="77777777" w:rsidR="00B26843" w:rsidRDefault="00000000">
      <w:pPr>
        <w:spacing w:before="4"/>
        <w:ind w:left="113"/>
        <w:rPr>
          <w:b/>
          <w:sz w:val="28"/>
        </w:rPr>
      </w:pPr>
      <w:r>
        <w:rPr>
          <w:b/>
          <w:spacing w:val="-2"/>
          <w:sz w:val="28"/>
        </w:rPr>
        <w:t>Tinnitus</w:t>
      </w:r>
    </w:p>
    <w:p w14:paraId="57E3CE59" w14:textId="77777777" w:rsidR="00B26843" w:rsidRDefault="00000000">
      <w:pPr>
        <w:spacing w:before="135"/>
        <w:rPr>
          <w:b/>
          <w:sz w:val="32"/>
        </w:rPr>
      </w:pPr>
      <w:r>
        <w:br w:type="column"/>
      </w:r>
    </w:p>
    <w:p w14:paraId="57E3CE5A" w14:textId="77777777" w:rsidR="00B26843" w:rsidRDefault="00000000">
      <w:pPr>
        <w:ind w:right="124"/>
        <w:jc w:val="right"/>
        <w:rPr>
          <w:b/>
          <w:sz w:val="32"/>
        </w:rPr>
      </w:pPr>
      <w:r>
        <w:rPr>
          <w:b/>
          <w:spacing w:val="-5"/>
          <w:sz w:val="32"/>
        </w:rPr>
        <w:t>ENT</w:t>
      </w:r>
    </w:p>
    <w:p w14:paraId="57E3CE5B" w14:textId="77777777" w:rsidR="00B26843" w:rsidRDefault="00B26843">
      <w:pPr>
        <w:jc w:val="right"/>
        <w:rPr>
          <w:sz w:val="32"/>
        </w:rPr>
        <w:sectPr w:rsidR="00B26843">
          <w:type w:val="continuous"/>
          <w:pgSz w:w="11920" w:h="16850"/>
          <w:pgMar w:top="260" w:right="1140" w:bottom="280" w:left="1020" w:header="720" w:footer="720" w:gutter="0"/>
          <w:cols w:num="2" w:space="720" w:equalWidth="0">
            <w:col w:w="4354" w:space="2395"/>
            <w:col w:w="3011"/>
          </w:cols>
        </w:sectPr>
      </w:pPr>
    </w:p>
    <w:p w14:paraId="57E3CE5C" w14:textId="77777777" w:rsidR="00B26843" w:rsidRDefault="00000000">
      <w:pPr>
        <w:pStyle w:val="Heading1"/>
        <w:spacing w:before="275"/>
      </w:pPr>
      <w:r>
        <w:rPr>
          <w:spacing w:val="-2"/>
        </w:rPr>
        <w:t>Definition</w:t>
      </w:r>
    </w:p>
    <w:p w14:paraId="57E3CE5D" w14:textId="77777777" w:rsidR="00B26843" w:rsidRDefault="00000000">
      <w:pPr>
        <w:pStyle w:val="BodyText"/>
        <w:spacing w:before="4"/>
        <w:ind w:left="113" w:right="213"/>
        <w:jc w:val="both"/>
      </w:pPr>
      <w:r>
        <w:t>Tinnitus is the</w:t>
      </w:r>
      <w:r>
        <w:rPr>
          <w:spacing w:val="-1"/>
        </w:rPr>
        <w:t xml:space="preserve"> </w:t>
      </w:r>
      <w:r>
        <w:t>perception</w:t>
      </w:r>
      <w:r>
        <w:rPr>
          <w:spacing w:val="-1"/>
        </w:rPr>
        <w:t xml:space="preserve"> </w:t>
      </w:r>
      <w:r>
        <w:t xml:space="preserve">of noise </w:t>
      </w:r>
      <w:r>
        <w:rPr>
          <w:color w:val="202020"/>
        </w:rPr>
        <w:t>in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the absence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of sound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from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external environment. It may be described as a ringing, hissing, buzzing, sizzling, whistling, or humming, and can be constant or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intermittent,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unilateral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bilateral.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Around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10%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UK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adults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experience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prolonged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tinnitus; prevalence increases with age.</w:t>
      </w:r>
    </w:p>
    <w:p w14:paraId="57E3CE5E" w14:textId="77777777" w:rsidR="00B26843" w:rsidRDefault="00B26843">
      <w:pPr>
        <w:pStyle w:val="BodyText"/>
        <w:ind w:left="0"/>
      </w:pPr>
    </w:p>
    <w:p w14:paraId="57E3CE5F" w14:textId="77777777" w:rsidR="00B26843" w:rsidRDefault="00000000">
      <w:pPr>
        <w:pStyle w:val="BodyText"/>
        <w:spacing w:before="1"/>
        <w:ind w:left="113" w:right="198"/>
        <w:jc w:val="both"/>
      </w:pPr>
      <w:r>
        <w:t>“Musical</w:t>
      </w:r>
      <w:r>
        <w:rPr>
          <w:spacing w:val="-9"/>
        </w:rPr>
        <w:t xml:space="preserve"> </w:t>
      </w:r>
      <w:r>
        <w:t>tinnitus”</w:t>
      </w:r>
      <w:r>
        <w:rPr>
          <w:spacing w:val="-8"/>
        </w:rPr>
        <w:t xml:space="preserve"> </w:t>
      </w:r>
      <w:r>
        <w:t>(repetitive</w:t>
      </w:r>
      <w:r>
        <w:rPr>
          <w:spacing w:val="-2"/>
        </w:rPr>
        <w:t xml:space="preserve"> </w:t>
      </w:r>
      <w:r>
        <w:t>melodic</w:t>
      </w:r>
      <w:r>
        <w:rPr>
          <w:spacing w:val="-3"/>
        </w:rPr>
        <w:t xml:space="preserve"> </w:t>
      </w:r>
      <w:r>
        <w:t>noises,</w:t>
      </w:r>
      <w:r>
        <w:rPr>
          <w:spacing w:val="-5"/>
        </w:rPr>
        <w:t xml:space="preserve"> </w:t>
      </w:r>
      <w:r>
        <w:t>sometimes</w:t>
      </w:r>
      <w:r>
        <w:rPr>
          <w:spacing w:val="-5"/>
        </w:rPr>
        <w:t xml:space="preserve"> </w:t>
      </w:r>
      <w:r>
        <w:t>voices)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variation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tinnitus,</w:t>
      </w:r>
      <w:r>
        <w:rPr>
          <w:spacing w:val="-5"/>
        </w:rPr>
        <w:t xml:space="preserve"> </w:t>
      </w:r>
      <w:r>
        <w:t>but are not automatically a sign for a more significant underlying cause.</w:t>
      </w:r>
    </w:p>
    <w:p w14:paraId="57E3CE60" w14:textId="77777777" w:rsidR="00B26843" w:rsidRDefault="00000000">
      <w:pPr>
        <w:pStyle w:val="BodyText"/>
        <w:spacing w:before="252"/>
        <w:ind w:left="113" w:right="239"/>
      </w:pPr>
      <w:r>
        <w:t>There can be a multitude of possible physical (and psychological) triggering causes or maintaining</w:t>
      </w:r>
      <w:r>
        <w:rPr>
          <w:spacing w:val="-7"/>
        </w:rPr>
        <w:t xml:space="preserve"> </w:t>
      </w:r>
      <w:r>
        <w:t>factors.</w:t>
      </w:r>
      <w:r>
        <w:rPr>
          <w:spacing w:val="-9"/>
        </w:rPr>
        <w:t xml:space="preserve"> </w:t>
      </w:r>
      <w:r>
        <w:t>Tinnitus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temporary,</w:t>
      </w:r>
      <w:r>
        <w:rPr>
          <w:spacing w:val="-6"/>
        </w:rPr>
        <w:t xml:space="preserve"> </w:t>
      </w:r>
      <w:r>
        <w:t>but,</w:t>
      </w:r>
      <w:r>
        <w:rPr>
          <w:spacing w:val="-3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persists,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reversible, or, at least, modifiable.</w:t>
      </w:r>
    </w:p>
    <w:p w14:paraId="57E3CE61" w14:textId="77777777" w:rsidR="00B26843" w:rsidRDefault="00B26843">
      <w:pPr>
        <w:pStyle w:val="BodyText"/>
        <w:spacing w:before="1"/>
        <w:ind w:left="0"/>
      </w:pPr>
    </w:p>
    <w:p w14:paraId="57E3CE62" w14:textId="77777777" w:rsidR="00B26843" w:rsidRDefault="00000000">
      <w:pPr>
        <w:pStyle w:val="BodyText"/>
        <w:ind w:left="113"/>
      </w:pPr>
      <w:r>
        <w:t>Most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tinnitus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loss.</w:t>
      </w:r>
      <w:r>
        <w:rPr>
          <w:spacing w:val="-5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in children and adults who have normal hearing. Sudden or chronic noise exposure (e.g., head phones, machinery, trauma – such as fireworks, shooting etc.) are possible causes.</w:t>
      </w:r>
    </w:p>
    <w:p w14:paraId="57E3CE63" w14:textId="77777777" w:rsidR="00B26843" w:rsidRDefault="00B26843">
      <w:pPr>
        <w:pStyle w:val="BodyText"/>
        <w:spacing w:before="63"/>
        <w:ind w:left="0"/>
      </w:pPr>
    </w:p>
    <w:p w14:paraId="57E3CE64" w14:textId="77777777" w:rsidR="00B26843" w:rsidRDefault="00000000">
      <w:pPr>
        <w:pStyle w:val="Heading2"/>
        <w:spacing w:line="253" w:lineRule="exact"/>
      </w:pPr>
      <w:r>
        <w:t>Exclude</w:t>
      </w:r>
      <w:r>
        <w:rPr>
          <w:spacing w:val="-8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Flag</w:t>
      </w:r>
      <w:r>
        <w:rPr>
          <w:spacing w:val="-8"/>
        </w:rPr>
        <w:t xml:space="preserve"> </w:t>
      </w:r>
      <w:r>
        <w:rPr>
          <w:spacing w:val="-2"/>
        </w:rPr>
        <w:t>Symptoms</w:t>
      </w:r>
    </w:p>
    <w:p w14:paraId="57E3CE65" w14:textId="77777777" w:rsidR="00B26843" w:rsidRDefault="00000000">
      <w:pPr>
        <w:spacing w:line="253" w:lineRule="exact"/>
        <w:ind w:left="113"/>
        <w:jc w:val="both"/>
        <w:rPr>
          <w:b/>
          <w:sz w:val="20"/>
        </w:rPr>
      </w:pPr>
      <w:r>
        <w:rPr>
          <w:b/>
        </w:rPr>
        <w:t>Refer</w:t>
      </w:r>
      <w:r>
        <w:rPr>
          <w:b/>
          <w:spacing w:val="-17"/>
        </w:rPr>
        <w:t xml:space="preserve"> </w:t>
      </w:r>
      <w:r>
        <w:rPr>
          <w:b/>
        </w:rPr>
        <w:t>people</w:t>
      </w:r>
      <w:r>
        <w:rPr>
          <w:b/>
          <w:spacing w:val="-15"/>
        </w:rPr>
        <w:t xml:space="preserve"> </w:t>
      </w:r>
      <w:r>
        <w:rPr>
          <w:b/>
        </w:rPr>
        <w:t>with</w:t>
      </w:r>
      <w:r>
        <w:rPr>
          <w:b/>
          <w:spacing w:val="-15"/>
        </w:rPr>
        <w:t xml:space="preserve"> </w:t>
      </w:r>
      <w:r>
        <w:rPr>
          <w:b/>
        </w:rPr>
        <w:t>tinnitus</w:t>
      </w:r>
      <w:r>
        <w:rPr>
          <w:b/>
          <w:spacing w:val="-10"/>
        </w:rPr>
        <w:t xml:space="preserve"> </w:t>
      </w:r>
      <w:r>
        <w:rPr>
          <w:b/>
        </w:rPr>
        <w:t>immediately/within</w:t>
      </w:r>
      <w:r>
        <w:rPr>
          <w:b/>
          <w:spacing w:val="-16"/>
        </w:rPr>
        <w:t xml:space="preserve"> </w:t>
      </w:r>
      <w:r>
        <w:rPr>
          <w:b/>
        </w:rPr>
        <w:t>24</w:t>
      </w:r>
      <w:r>
        <w:rPr>
          <w:b/>
          <w:spacing w:val="-13"/>
        </w:rPr>
        <w:t xml:space="preserve"> </w:t>
      </w:r>
      <w:r>
        <w:rPr>
          <w:b/>
        </w:rPr>
        <w:t>hours</w:t>
      </w:r>
      <w:r>
        <w:rPr>
          <w:b/>
          <w:spacing w:val="-13"/>
        </w:rPr>
        <w:t xml:space="preserve"> </w:t>
      </w:r>
      <w:r>
        <w:rPr>
          <w:b/>
        </w:rPr>
        <w:t>if</w:t>
      </w:r>
      <w:r>
        <w:rPr>
          <w:b/>
          <w:spacing w:val="-12"/>
        </w:rPr>
        <w:t xml:space="preserve"> </w:t>
      </w:r>
      <w:r>
        <w:rPr>
          <w:b/>
        </w:rPr>
        <w:t>associated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with</w:t>
      </w:r>
      <w:r>
        <w:rPr>
          <w:b/>
          <w:spacing w:val="-2"/>
          <w:sz w:val="20"/>
        </w:rPr>
        <w:t>:</w:t>
      </w:r>
    </w:p>
    <w:p w14:paraId="57E3CE66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36" w:line="237" w:lineRule="auto"/>
        <w:ind w:right="306"/>
        <w:rPr>
          <w:rFonts w:ascii="Symbol" w:hAnsi="Symbol"/>
        </w:rPr>
      </w:pPr>
      <w:r>
        <w:rPr>
          <w:color w:val="202020"/>
        </w:rPr>
        <w:t>Sudden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onset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significant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neurological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symptoms/signs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acute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uncontrolled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vestibular symptoms - refer for neurological assessment or via local stroke referral pathway.</w:t>
      </w:r>
    </w:p>
    <w:p w14:paraId="57E3CE67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66" w:lineRule="exact"/>
        <w:rPr>
          <w:rFonts w:ascii="Symbol" w:hAnsi="Symbol"/>
        </w:rPr>
      </w:pPr>
      <w:r>
        <w:t>Significant</w:t>
      </w:r>
      <w:r>
        <w:rPr>
          <w:spacing w:val="-16"/>
        </w:rPr>
        <w:t xml:space="preserve"> </w:t>
      </w:r>
      <w:r>
        <w:t>head</w:t>
      </w:r>
      <w:r>
        <w:rPr>
          <w:spacing w:val="-16"/>
        </w:rPr>
        <w:t xml:space="preserve"> </w:t>
      </w:r>
      <w:r>
        <w:t>trauma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subsequent</w:t>
      </w:r>
      <w:r>
        <w:rPr>
          <w:spacing w:val="-16"/>
        </w:rPr>
        <w:t xml:space="preserve"> </w:t>
      </w:r>
      <w:r>
        <w:t>tinnitus,</w:t>
      </w:r>
      <w:r>
        <w:rPr>
          <w:spacing w:val="-14"/>
        </w:rPr>
        <w:t xml:space="preserve"> </w:t>
      </w:r>
      <w:r>
        <w:t>especially</w:t>
      </w:r>
      <w:r>
        <w:rPr>
          <w:spacing w:val="-1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2"/>
        </w:rPr>
        <w:t>pulsatile.</w:t>
      </w:r>
    </w:p>
    <w:p w14:paraId="57E3CE68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9" w:line="235" w:lineRule="auto"/>
        <w:ind w:right="665"/>
        <w:rPr>
          <w:rFonts w:ascii="Symbol" w:hAnsi="Symbol"/>
          <w:color w:val="202020"/>
        </w:rPr>
      </w:pPr>
      <w:r>
        <w:rPr>
          <w:color w:val="202020"/>
        </w:rPr>
        <w:t>Sudden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onset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tinnitus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hearing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loss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past 30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days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</w:t>
      </w:r>
      <w:r>
        <w:t>iscuss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on-call</w:t>
      </w:r>
      <w:r>
        <w:rPr>
          <w:spacing w:val="-5"/>
        </w:rPr>
        <w:t xml:space="preserve"> </w:t>
      </w:r>
      <w:r>
        <w:t>ENT team to determine best management.</w:t>
      </w:r>
    </w:p>
    <w:p w14:paraId="57E3CE69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4" w:line="235" w:lineRule="auto"/>
        <w:ind w:right="928"/>
        <w:rPr>
          <w:rFonts w:ascii="Symbol" w:hAnsi="Symbol"/>
          <w:color w:val="202020"/>
        </w:rPr>
      </w:pPr>
      <w:r>
        <w:rPr>
          <w:color w:val="202020"/>
        </w:rPr>
        <w:t>Tinnitus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associated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with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high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risk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suicide -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refer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immediately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crisis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mental health management team for assessment; if needed, provide a safe place while waiting for the assessment</w:t>
      </w:r>
    </w:p>
    <w:p w14:paraId="57E3CE6A" w14:textId="77777777" w:rsidR="00B26843" w:rsidRDefault="00B26843">
      <w:pPr>
        <w:pStyle w:val="BodyText"/>
        <w:ind w:left="0"/>
      </w:pPr>
    </w:p>
    <w:p w14:paraId="57E3CE6B" w14:textId="268A8DB5" w:rsidR="00B26843" w:rsidRDefault="00000000">
      <w:pPr>
        <w:pStyle w:val="Heading2"/>
      </w:pPr>
      <w:r>
        <w:rPr>
          <w:color w:val="202020"/>
        </w:rPr>
        <w:t>Refer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people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urgently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if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they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have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tinnitus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associated</w:t>
      </w:r>
      <w:r>
        <w:rPr>
          <w:color w:val="202020"/>
          <w:spacing w:val="-13"/>
        </w:rPr>
        <w:t xml:space="preserve"> </w:t>
      </w:r>
      <w:r>
        <w:rPr>
          <w:color w:val="202020"/>
          <w:spacing w:val="-2"/>
        </w:rPr>
        <w:t>with:</w:t>
      </w:r>
    </w:p>
    <w:p w14:paraId="57E3CE6C" w14:textId="77777777" w:rsidR="00B26843" w:rsidRDefault="00B26843">
      <w:pPr>
        <w:pStyle w:val="BodyText"/>
        <w:spacing w:before="32"/>
        <w:ind w:left="0"/>
        <w:rPr>
          <w:b/>
        </w:rPr>
      </w:pPr>
    </w:p>
    <w:p w14:paraId="57E3CE6D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35" w:lineRule="auto"/>
        <w:ind w:right="240"/>
        <w:rPr>
          <w:rFonts w:ascii="Symbol" w:hAnsi="Symbol"/>
          <w:color w:val="202020"/>
        </w:rPr>
      </w:pPr>
      <w:r>
        <w:rPr>
          <w:color w:val="202020"/>
        </w:rPr>
        <w:t>Sudden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hearing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loss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that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developed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more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than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30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days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ago,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rapidly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worsening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hearing loss (over a period of 4–90 days) – refer to an ENT or audio vestibular service.</w:t>
      </w:r>
    </w:p>
    <w:p w14:paraId="57E3CE6E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" w:line="240" w:lineRule="auto"/>
        <w:rPr>
          <w:rFonts w:ascii="Symbol" w:hAnsi="Symbol"/>
          <w:color w:val="202020"/>
        </w:rPr>
      </w:pPr>
      <w:r>
        <w:rPr>
          <w:color w:val="202020"/>
        </w:rPr>
        <w:t>Persistent</w:t>
      </w:r>
      <w:r>
        <w:rPr>
          <w:color w:val="202020"/>
          <w:spacing w:val="-18"/>
        </w:rPr>
        <w:t xml:space="preserve"> </w:t>
      </w:r>
      <w:r>
        <w:rPr>
          <w:color w:val="202020"/>
        </w:rPr>
        <w:t>otalgia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otorrhoea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that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does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not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resolve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with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routine</w:t>
      </w:r>
      <w:r>
        <w:rPr>
          <w:color w:val="202020"/>
          <w:spacing w:val="-13"/>
        </w:rPr>
        <w:t xml:space="preserve"> </w:t>
      </w:r>
      <w:r>
        <w:rPr>
          <w:color w:val="202020"/>
          <w:spacing w:val="-2"/>
        </w:rPr>
        <w:t>treatment.</w:t>
      </w:r>
    </w:p>
    <w:p w14:paraId="57E3CE6F" w14:textId="77777777" w:rsidR="00B26843" w:rsidRDefault="00B26843">
      <w:pPr>
        <w:pStyle w:val="BodyText"/>
        <w:spacing w:before="22"/>
        <w:ind w:left="0"/>
      </w:pPr>
    </w:p>
    <w:p w14:paraId="57E3CE70" w14:textId="77777777" w:rsidR="00B26843" w:rsidRDefault="00000000">
      <w:pPr>
        <w:pStyle w:val="Heading2"/>
        <w:spacing w:before="1"/>
      </w:pPr>
      <w:r>
        <w:rPr>
          <w:spacing w:val="-2"/>
        </w:rPr>
        <w:t>Refer</w:t>
      </w:r>
      <w:r>
        <w:rPr>
          <w:spacing w:val="2"/>
        </w:rPr>
        <w:t xml:space="preserve"> </w:t>
      </w:r>
      <w:r>
        <w:rPr>
          <w:spacing w:val="-2"/>
        </w:rPr>
        <w:t xml:space="preserve">non-urgently </w:t>
      </w:r>
      <w:r>
        <w:rPr>
          <w:spacing w:val="-5"/>
        </w:rPr>
        <w:t>if</w:t>
      </w:r>
    </w:p>
    <w:p w14:paraId="57E3CE71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48"/>
        <w:rPr>
          <w:rFonts w:ascii="Symbol" w:hAnsi="Symbol"/>
        </w:rPr>
      </w:pPr>
      <w:r>
        <w:t>Persistent</w:t>
      </w:r>
      <w:r>
        <w:rPr>
          <w:spacing w:val="-18"/>
        </w:rPr>
        <w:t xml:space="preserve"> </w:t>
      </w:r>
      <w:r>
        <w:t>(&gt;3</w:t>
      </w:r>
      <w:r>
        <w:rPr>
          <w:spacing w:val="-15"/>
        </w:rPr>
        <w:t xml:space="preserve"> </w:t>
      </w:r>
      <w:r>
        <w:t>months)</w:t>
      </w:r>
      <w:r>
        <w:rPr>
          <w:spacing w:val="-15"/>
        </w:rPr>
        <w:t xml:space="preserve"> </w:t>
      </w:r>
      <w:r>
        <w:t>unilateral</w:t>
      </w:r>
      <w:r>
        <w:rPr>
          <w:spacing w:val="-16"/>
        </w:rPr>
        <w:t xml:space="preserve"> </w:t>
      </w:r>
      <w:r>
        <w:t>tinnitus</w:t>
      </w:r>
      <w:r>
        <w:rPr>
          <w:spacing w:val="-15"/>
        </w:rPr>
        <w:t xml:space="preserve"> </w:t>
      </w:r>
      <w:r>
        <w:t>[consider</w:t>
      </w:r>
      <w:r>
        <w:rPr>
          <w:spacing w:val="-14"/>
        </w:rPr>
        <w:t xml:space="preserve"> </w:t>
      </w:r>
      <w:r>
        <w:t>acoustic</w:t>
      </w:r>
      <w:r>
        <w:rPr>
          <w:spacing w:val="-12"/>
        </w:rPr>
        <w:t xml:space="preserve"> </w:t>
      </w:r>
      <w:r>
        <w:rPr>
          <w:spacing w:val="-2"/>
        </w:rPr>
        <w:t>neuroma]</w:t>
      </w:r>
    </w:p>
    <w:p w14:paraId="57E3CE72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Symbol" w:hAnsi="Symbol"/>
        </w:rPr>
      </w:pPr>
      <w:r>
        <w:t>Associated</w:t>
      </w:r>
      <w:r>
        <w:rPr>
          <w:spacing w:val="-15"/>
        </w:rPr>
        <w:t xml:space="preserve"> </w:t>
      </w:r>
      <w:r>
        <w:t>significant</w:t>
      </w:r>
      <w:r>
        <w:rPr>
          <w:spacing w:val="-14"/>
        </w:rPr>
        <w:t xml:space="preserve"> </w:t>
      </w:r>
      <w:r>
        <w:t>deafness</w:t>
      </w:r>
      <w:r>
        <w:rPr>
          <w:spacing w:val="-15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rPr>
          <w:spacing w:val="-2"/>
        </w:rPr>
        <w:t>vertigo</w:t>
      </w:r>
    </w:p>
    <w:p w14:paraId="57E3CE73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Symbol" w:hAnsi="Symbol"/>
        </w:rPr>
      </w:pPr>
      <w:r>
        <w:rPr>
          <w:spacing w:val="-2"/>
        </w:rPr>
        <w:t>Tympanic</w:t>
      </w:r>
      <w:r>
        <w:rPr>
          <w:spacing w:val="-8"/>
        </w:rPr>
        <w:t xml:space="preserve"> </w:t>
      </w:r>
      <w:r>
        <w:rPr>
          <w:spacing w:val="-2"/>
        </w:rPr>
        <w:t>membrane</w:t>
      </w:r>
      <w:r>
        <w:rPr>
          <w:spacing w:val="-6"/>
        </w:rPr>
        <w:t xml:space="preserve"> </w:t>
      </w:r>
      <w:r>
        <w:rPr>
          <w:spacing w:val="-2"/>
        </w:rPr>
        <w:t>abnormality</w:t>
      </w:r>
    </w:p>
    <w:p w14:paraId="57E3CE74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8" w:line="235" w:lineRule="auto"/>
        <w:ind w:right="728"/>
        <w:rPr>
          <w:rFonts w:ascii="Symbol" w:hAnsi="Symbol"/>
        </w:rPr>
      </w:pPr>
      <w:r>
        <w:t>Persistent</w:t>
      </w:r>
      <w:r>
        <w:rPr>
          <w:spacing w:val="-6"/>
        </w:rPr>
        <w:t xml:space="preserve"> </w:t>
      </w:r>
      <w:r>
        <w:t>pulsatile</w:t>
      </w:r>
      <w:r>
        <w:rPr>
          <w:spacing w:val="-5"/>
        </w:rPr>
        <w:t xml:space="preserve"> </w:t>
      </w:r>
      <w:r>
        <w:t>tinnitus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inflammation</w:t>
      </w:r>
      <w:r>
        <w:rPr>
          <w:spacing w:val="-4"/>
        </w:rPr>
        <w:t xml:space="preserve"> </w:t>
      </w:r>
      <w:r>
        <w:t>or infection [consider glomus tumour]</w:t>
      </w:r>
    </w:p>
    <w:p w14:paraId="57E3CE75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65" w:lineRule="exact"/>
        <w:rPr>
          <w:rFonts w:ascii="Symbol" w:hAnsi="Symbol"/>
        </w:rPr>
      </w:pPr>
      <w:r>
        <w:t>Hyperacusis,</w:t>
      </w:r>
      <w:r>
        <w:rPr>
          <w:spacing w:val="-17"/>
        </w:rPr>
        <w:t xml:space="preserve"> </w:t>
      </w:r>
      <w:r>
        <w:t>i.e.,</w:t>
      </w:r>
      <w:r>
        <w:rPr>
          <w:spacing w:val="-10"/>
        </w:rPr>
        <w:t xml:space="preserve"> </w:t>
      </w:r>
      <w:r>
        <w:t>over-sensitivity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certain</w:t>
      </w:r>
      <w:r>
        <w:rPr>
          <w:spacing w:val="-13"/>
        </w:rPr>
        <w:t xml:space="preserve"> </w:t>
      </w:r>
      <w:r>
        <w:t>noises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2"/>
        </w:rPr>
        <w:t>frequencies</w:t>
      </w:r>
    </w:p>
    <w:p w14:paraId="57E3CE76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68" w:lineRule="exact"/>
        <w:rPr>
          <w:rFonts w:ascii="Symbol" w:hAnsi="Symbol"/>
        </w:rPr>
      </w:pPr>
      <w:r>
        <w:t>Acute</w:t>
      </w:r>
      <w:r>
        <w:rPr>
          <w:spacing w:val="-11"/>
        </w:rPr>
        <w:t xml:space="preserve"> </w:t>
      </w:r>
      <w:r>
        <w:t>onset</w:t>
      </w:r>
      <w:r>
        <w:rPr>
          <w:spacing w:val="-9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head</w:t>
      </w:r>
      <w:r>
        <w:rPr>
          <w:spacing w:val="-13"/>
        </w:rPr>
        <w:t xml:space="preserve"> </w:t>
      </w:r>
      <w:r>
        <w:t>injury;</w:t>
      </w:r>
      <w:r>
        <w:rPr>
          <w:spacing w:val="-8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neurological</w:t>
      </w:r>
      <w:r>
        <w:rPr>
          <w:spacing w:val="-13"/>
        </w:rPr>
        <w:t xml:space="preserve"> </w:t>
      </w:r>
      <w:r>
        <w:t>symptoms,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severe</w:t>
      </w:r>
      <w:r>
        <w:rPr>
          <w:spacing w:val="-12"/>
        </w:rPr>
        <w:t xml:space="preserve"> </w:t>
      </w:r>
      <w:r>
        <w:rPr>
          <w:spacing w:val="-2"/>
        </w:rPr>
        <w:t>vertigo</w:t>
      </w:r>
    </w:p>
    <w:p w14:paraId="57E3CE77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9" w:line="235" w:lineRule="auto"/>
        <w:ind w:right="933"/>
        <w:rPr>
          <w:rFonts w:ascii="Symbol" w:hAnsi="Symbol"/>
        </w:rPr>
      </w:pPr>
      <w:r>
        <w:t>Persistent</w:t>
      </w:r>
      <w:r>
        <w:rPr>
          <w:spacing w:val="-9"/>
        </w:rPr>
        <w:t xml:space="preserve"> </w:t>
      </w:r>
      <w:r>
        <w:t>intrusive</w:t>
      </w:r>
      <w:r>
        <w:rPr>
          <w:spacing w:val="-9"/>
        </w:rPr>
        <w:t xml:space="preserve"> </w:t>
      </w:r>
      <w:r>
        <w:t>tinnitus</w:t>
      </w:r>
      <w:r>
        <w:rPr>
          <w:spacing w:val="-7"/>
        </w:rPr>
        <w:t xml:space="preserve"> </w:t>
      </w:r>
      <w:r>
        <w:t>[consider</w:t>
      </w:r>
      <w:r>
        <w:rPr>
          <w:spacing w:val="-6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psychological element and stress]</w:t>
      </w:r>
    </w:p>
    <w:p w14:paraId="57E3CE78" w14:textId="77777777" w:rsidR="00B26843" w:rsidRDefault="00B26843">
      <w:pPr>
        <w:spacing w:line="235" w:lineRule="auto"/>
        <w:rPr>
          <w:rFonts w:ascii="Symbol" w:hAnsi="Symbol"/>
        </w:rPr>
        <w:sectPr w:rsidR="00B26843">
          <w:type w:val="continuous"/>
          <w:pgSz w:w="11920" w:h="16850"/>
          <w:pgMar w:top="260" w:right="1140" w:bottom="280" w:left="1020" w:header="720" w:footer="720" w:gutter="0"/>
          <w:cols w:space="720"/>
        </w:sectPr>
      </w:pPr>
    </w:p>
    <w:p w14:paraId="57E3CE79" w14:textId="77777777" w:rsidR="00B26843" w:rsidRDefault="00000000">
      <w:pPr>
        <w:pStyle w:val="Heading1"/>
        <w:spacing w:before="74"/>
      </w:pPr>
      <w:r>
        <w:rPr>
          <w:spacing w:val="-2"/>
        </w:rPr>
        <w:lastRenderedPageBreak/>
        <w:t>Management</w:t>
      </w:r>
    </w:p>
    <w:p w14:paraId="57E3CE7A" w14:textId="77777777" w:rsidR="00B26843" w:rsidRDefault="00B26843">
      <w:pPr>
        <w:pStyle w:val="BodyText"/>
        <w:spacing w:before="8"/>
        <w:ind w:left="0"/>
        <w:rPr>
          <w:b/>
          <w:sz w:val="24"/>
        </w:rPr>
      </w:pPr>
    </w:p>
    <w:p w14:paraId="57E3CE7B" w14:textId="77777777" w:rsidR="00B26843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35" w:lineRule="auto"/>
        <w:ind w:left="821" w:right="334" w:hanging="425"/>
        <w:rPr>
          <w:rFonts w:ascii="Symbol" w:hAnsi="Symbol"/>
          <w:sz w:val="24"/>
        </w:rPr>
      </w:pPr>
      <w:r>
        <w:rPr>
          <w:b/>
        </w:rPr>
        <w:t>Reassure</w:t>
      </w:r>
      <w:r>
        <w:rPr>
          <w:b/>
          <w:spacing w:val="-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referral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required).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bilateral</w:t>
      </w:r>
      <w:r>
        <w:rPr>
          <w:spacing w:val="-8"/>
        </w:rPr>
        <w:t xml:space="preserve"> </w:t>
      </w:r>
      <w:r>
        <w:t>tinnitus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will often benefit from reassurance and advice on the natural history of tinnitus (it usually becomes less intrusive and can disappear) and simple recommendations for distraction with external noise</w:t>
      </w:r>
      <w:r>
        <w:rPr>
          <w:sz w:val="24"/>
        </w:rPr>
        <w:t>.</w:t>
      </w:r>
    </w:p>
    <w:p w14:paraId="57E3CE7C" w14:textId="77777777" w:rsidR="00B26843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52" w:line="240" w:lineRule="auto"/>
        <w:ind w:left="821" w:right="412" w:hanging="425"/>
        <w:rPr>
          <w:rFonts w:ascii="Symbol" w:hAnsi="Symbol"/>
        </w:rPr>
      </w:pPr>
      <w:r>
        <w:rPr>
          <w:b/>
        </w:rPr>
        <w:t>Treat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underlying</w:t>
      </w:r>
      <w:r>
        <w:rPr>
          <w:b/>
          <w:spacing w:val="-7"/>
        </w:rPr>
        <w:t xml:space="preserve"> </w:t>
      </w:r>
      <w:r>
        <w:rPr>
          <w:b/>
        </w:rPr>
        <w:t>cause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offer</w:t>
      </w:r>
      <w:r>
        <w:rPr>
          <w:b/>
          <w:spacing w:val="-9"/>
        </w:rPr>
        <w:t xml:space="preserve"> </w:t>
      </w:r>
      <w:r>
        <w:rPr>
          <w:b/>
        </w:rPr>
        <w:t>advice</w:t>
      </w:r>
      <w:r>
        <w:rPr>
          <w:b/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e.g.,</w:t>
      </w:r>
      <w:r>
        <w:rPr>
          <w:spacing w:val="-6"/>
        </w:rPr>
        <w:t xml:space="preserve"> </w:t>
      </w:r>
      <w:r>
        <w:t>impacted</w:t>
      </w:r>
      <w:r>
        <w:rPr>
          <w:spacing w:val="-5"/>
        </w:rPr>
        <w:t xml:space="preserve"> </w:t>
      </w:r>
      <w:r>
        <w:t>wax,</w:t>
      </w:r>
      <w:r>
        <w:rPr>
          <w:spacing w:val="-1"/>
        </w:rPr>
        <w:t xml:space="preserve"> </w:t>
      </w:r>
      <w:r>
        <w:t>otitis media/externa, foreign body or TMJ dysfunction. Check for any discharge or bleeding. Where applicable, advise patients to purchase treatments OTC for conditions such as impacted wax.</w:t>
      </w:r>
    </w:p>
    <w:p w14:paraId="57E3CE7D" w14:textId="77777777" w:rsidR="00B26843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51" w:line="240" w:lineRule="auto"/>
        <w:ind w:left="821" w:right="361" w:hanging="425"/>
        <w:rPr>
          <w:rFonts w:ascii="Symbol" w:hAnsi="Symbol"/>
          <w:color w:val="202020"/>
        </w:rPr>
      </w:pPr>
      <w:r>
        <w:rPr>
          <w:b/>
        </w:rPr>
        <w:t>Review</w:t>
      </w:r>
      <w:r>
        <w:rPr>
          <w:b/>
          <w:spacing w:val="-5"/>
        </w:rPr>
        <w:t xml:space="preserve"> </w:t>
      </w:r>
      <w:r>
        <w:rPr>
          <w:b/>
        </w:rPr>
        <w:t>current</w:t>
      </w:r>
      <w:r>
        <w:rPr>
          <w:b/>
          <w:spacing w:val="-5"/>
        </w:rPr>
        <w:t xml:space="preserve"> </w:t>
      </w:r>
      <w:r>
        <w:rPr>
          <w:b/>
        </w:rPr>
        <w:t>medications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tinnitus</w:t>
      </w:r>
      <w:r>
        <w:rPr>
          <w:spacing w:val="-6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rPr>
          <w:color w:val="202020"/>
        </w:rPr>
        <w:t>valproate; loop diuretics, aspirin and NSAIDs can cause tinnitus and reversible hearing loss; antimalarials; tetracyclines; macrolide antibiotics (e.g. erythromycin); aminoglycoside antibiotics (e.g. gentamicin) and cytotoxic drugs can cause tinnitus and permanent hearing loss associated with cochlear injury. Please refer to the BNF.</w:t>
      </w:r>
    </w:p>
    <w:p w14:paraId="57E3CE7E" w14:textId="77777777" w:rsidR="00B26843" w:rsidRDefault="00B26843">
      <w:pPr>
        <w:pStyle w:val="BodyText"/>
        <w:spacing w:before="1"/>
        <w:ind w:left="0"/>
      </w:pPr>
    </w:p>
    <w:p w14:paraId="57E3CE7F" w14:textId="77777777" w:rsidR="00B26843" w:rsidRDefault="00000000">
      <w:pPr>
        <w:pStyle w:val="Heading2"/>
        <w:numPr>
          <w:ilvl w:val="0"/>
          <w:numId w:val="1"/>
        </w:numPr>
        <w:tabs>
          <w:tab w:val="left" w:pos="821"/>
        </w:tabs>
        <w:spacing w:before="1" w:line="235" w:lineRule="auto"/>
        <w:ind w:left="821" w:right="1231" w:hanging="425"/>
        <w:jc w:val="left"/>
        <w:rPr>
          <w:rFonts w:ascii="Symbol" w:hAnsi="Symbol"/>
          <w:b w:val="0"/>
        </w:rPr>
      </w:pPr>
      <w:r>
        <w:t>Discuss</w:t>
      </w:r>
      <w:r>
        <w:rPr>
          <w:spacing w:val="-8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psychological</w:t>
      </w:r>
      <w:r>
        <w:rPr>
          <w:spacing w:val="-5"/>
        </w:rPr>
        <w:t xml:space="preserve"> </w:t>
      </w:r>
      <w:r>
        <w:t>symptoms,</w:t>
      </w:r>
      <w:r>
        <w:rPr>
          <w:spacing w:val="-9"/>
        </w:rPr>
        <w:t xml:space="preserve"> </w:t>
      </w:r>
      <w:r>
        <w:t>especially</w:t>
      </w:r>
      <w:r>
        <w:rPr>
          <w:spacing w:val="-10"/>
        </w:rPr>
        <w:t xml:space="preserve"> </w:t>
      </w:r>
      <w:r>
        <w:t>anxiety</w:t>
      </w:r>
      <w:r>
        <w:rPr>
          <w:spacing w:val="-12"/>
        </w:rPr>
        <w:t xml:space="preserve"> </w:t>
      </w:r>
      <w:r>
        <w:t xml:space="preserve">type </w:t>
      </w:r>
      <w:r>
        <w:rPr>
          <w:spacing w:val="-2"/>
        </w:rPr>
        <w:t>symptoms.</w:t>
      </w:r>
    </w:p>
    <w:p w14:paraId="57E3CE80" w14:textId="77777777" w:rsidR="00B26843" w:rsidRDefault="00B26843">
      <w:pPr>
        <w:pStyle w:val="BodyText"/>
        <w:spacing w:before="27"/>
        <w:ind w:left="0"/>
        <w:rPr>
          <w:b/>
        </w:rPr>
      </w:pPr>
    </w:p>
    <w:p w14:paraId="57E3CE81" w14:textId="77777777" w:rsidR="00B26843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left="821" w:right="375" w:hanging="425"/>
        <w:rPr>
          <w:rFonts w:ascii="Symbol" w:hAnsi="Symbol"/>
        </w:rPr>
      </w:pP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patients</w:t>
      </w:r>
      <w:r>
        <w:rPr>
          <w:b/>
          <w:spacing w:val="-8"/>
        </w:rPr>
        <w:t xml:space="preserve"> </w:t>
      </w:r>
      <w:r>
        <w:rPr>
          <w:b/>
        </w:rPr>
        <w:t>ask,</w:t>
      </w:r>
      <w:r>
        <w:rPr>
          <w:b/>
          <w:spacing w:val="-4"/>
        </w:rPr>
        <w:t xml:space="preserve"> </w:t>
      </w:r>
      <w:r>
        <w:t>reassure</w:t>
      </w:r>
      <w:r>
        <w:rPr>
          <w:spacing w:val="-8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acoustic</w:t>
      </w:r>
      <w:r>
        <w:rPr>
          <w:spacing w:val="-5"/>
        </w:rPr>
        <w:t xml:space="preserve"> </w:t>
      </w:r>
      <w:r>
        <w:t>neuromas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vascular lesions (glomus tumours etc) are largely slowly progressing phenomenon and only sometimes need intervention.</w:t>
      </w:r>
    </w:p>
    <w:p w14:paraId="57E3CE82" w14:textId="77777777" w:rsidR="00B26843" w:rsidRDefault="00000000">
      <w:pPr>
        <w:pStyle w:val="Heading1"/>
        <w:spacing w:before="251" w:line="276" w:lineRule="exact"/>
      </w:pPr>
      <w:r>
        <w:rPr>
          <w:spacing w:val="-2"/>
        </w:rPr>
        <w:t>Referral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57E3CE83" w14:textId="77777777" w:rsidR="00B26843" w:rsidRDefault="00000000">
      <w:pPr>
        <w:pStyle w:val="BodyText"/>
        <w:spacing w:line="253" w:lineRule="exact"/>
        <w:ind w:left="113"/>
      </w:pPr>
      <w:r>
        <w:t>Investigations</w:t>
      </w:r>
      <w:r>
        <w:rPr>
          <w:spacing w:val="-11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referral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4"/>
        </w:rPr>
        <w:t>none</w:t>
      </w:r>
    </w:p>
    <w:p w14:paraId="57E3CE84" w14:textId="77777777" w:rsidR="00B26843" w:rsidRDefault="00B26843">
      <w:pPr>
        <w:pStyle w:val="BodyText"/>
        <w:spacing w:before="27"/>
        <w:ind w:left="0"/>
      </w:pPr>
    </w:p>
    <w:p w14:paraId="57E3CE85" w14:textId="77777777" w:rsidR="00B26843" w:rsidRDefault="00000000">
      <w:pPr>
        <w:pStyle w:val="Heading1"/>
      </w:pP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referral</w:t>
      </w:r>
      <w:r>
        <w:rPr>
          <w:spacing w:val="-7"/>
        </w:rPr>
        <w:t xml:space="preserve"> </w:t>
      </w:r>
      <w:r>
        <w:rPr>
          <w:spacing w:val="-2"/>
        </w:rPr>
        <w:t>letter</w:t>
      </w:r>
    </w:p>
    <w:p w14:paraId="57E3CE86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271"/>
        <w:rPr>
          <w:rFonts w:ascii="Symbol" w:hAnsi="Symbol"/>
        </w:rPr>
      </w:pPr>
      <w:r>
        <w:t>Nature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tinnitus;</w:t>
      </w:r>
      <w:r>
        <w:rPr>
          <w:spacing w:val="-13"/>
        </w:rPr>
        <w:t xml:space="preserve"> </w:t>
      </w:r>
      <w:r>
        <w:t>ear/ears</w:t>
      </w:r>
      <w:r>
        <w:rPr>
          <w:spacing w:val="-11"/>
        </w:rPr>
        <w:t xml:space="preserve"> </w:t>
      </w:r>
      <w:r>
        <w:t>affected;</w:t>
      </w:r>
      <w:r>
        <w:rPr>
          <w:spacing w:val="-13"/>
        </w:rPr>
        <w:t xml:space="preserve"> </w:t>
      </w:r>
      <w:r>
        <w:t>hearing</w:t>
      </w:r>
      <w:r>
        <w:rPr>
          <w:spacing w:val="-12"/>
        </w:rPr>
        <w:t xml:space="preserve"> </w:t>
      </w:r>
      <w:r>
        <w:t>loss,</w:t>
      </w:r>
      <w:r>
        <w:rPr>
          <w:spacing w:val="-15"/>
        </w:rPr>
        <w:t xml:space="preserve"> </w:t>
      </w:r>
      <w:r>
        <w:rPr>
          <w:spacing w:val="-2"/>
        </w:rPr>
        <w:t>timeline</w:t>
      </w:r>
    </w:p>
    <w:p w14:paraId="57E3CE87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Symbol" w:hAnsi="Symbol"/>
        </w:rPr>
      </w:pPr>
      <w:r>
        <w:t>Findings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physical</w:t>
      </w:r>
      <w:r>
        <w:rPr>
          <w:spacing w:val="-13"/>
        </w:rPr>
        <w:t xml:space="preserve"> </w:t>
      </w:r>
      <w:r>
        <w:t>examination</w:t>
      </w:r>
      <w:r>
        <w:rPr>
          <w:spacing w:val="-13"/>
        </w:rPr>
        <w:t xml:space="preserve"> </w:t>
      </w:r>
      <w:r>
        <w:t>(wax,</w:t>
      </w:r>
      <w:r>
        <w:rPr>
          <w:spacing w:val="-13"/>
        </w:rPr>
        <w:t xml:space="preserve"> </w:t>
      </w:r>
      <w:r>
        <w:t>signs</w:t>
      </w:r>
      <w:r>
        <w:rPr>
          <w:spacing w:val="-1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infection,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apparent</w:t>
      </w:r>
      <w:r>
        <w:rPr>
          <w:spacing w:val="-9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rPr>
          <w:spacing w:val="-2"/>
        </w:rPr>
        <w:t>loss)</w:t>
      </w:r>
    </w:p>
    <w:p w14:paraId="57E3CE88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Symbol" w:hAnsi="Symbol"/>
        </w:rPr>
      </w:pPr>
      <w:r>
        <w:t>Relevant</w:t>
      </w:r>
      <w:r>
        <w:rPr>
          <w:spacing w:val="-9"/>
        </w:rPr>
        <w:t xml:space="preserve"> </w:t>
      </w:r>
      <w:r>
        <w:t>past</w:t>
      </w:r>
      <w:r>
        <w:rPr>
          <w:spacing w:val="-11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surgical</w:t>
      </w:r>
      <w:r>
        <w:rPr>
          <w:spacing w:val="-10"/>
        </w:rPr>
        <w:t xml:space="preserve"> </w:t>
      </w:r>
      <w:r>
        <w:rPr>
          <w:spacing w:val="-2"/>
        </w:rPr>
        <w:t>history</w:t>
      </w:r>
    </w:p>
    <w:p w14:paraId="57E3CE89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Symbol" w:hAnsi="Symbol"/>
        </w:rPr>
      </w:pPr>
      <w:r>
        <w:t>Current</w:t>
      </w:r>
      <w:r>
        <w:rPr>
          <w:spacing w:val="-13"/>
        </w:rPr>
        <w:t xml:space="preserve"> </w:t>
      </w:r>
      <w:r>
        <w:t>regular</w:t>
      </w:r>
      <w:r>
        <w:rPr>
          <w:spacing w:val="-13"/>
        </w:rPr>
        <w:t xml:space="preserve"> </w:t>
      </w:r>
      <w:r>
        <w:rPr>
          <w:spacing w:val="-2"/>
        </w:rPr>
        <w:t>medication</w:t>
      </w:r>
    </w:p>
    <w:p w14:paraId="57E3CE8A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Symbol" w:hAnsi="Symbol"/>
        </w:rPr>
      </w:pPr>
      <w:r>
        <w:t>Smoking</w:t>
      </w:r>
      <w:r>
        <w:rPr>
          <w:spacing w:val="-13"/>
        </w:rPr>
        <w:t xml:space="preserve"> </w:t>
      </w:r>
      <w:r>
        <w:rPr>
          <w:spacing w:val="-2"/>
        </w:rPr>
        <w:t>status</w:t>
      </w:r>
    </w:p>
    <w:p w14:paraId="57E3CE8B" w14:textId="77777777" w:rsidR="00B26843" w:rsidRDefault="00B26843">
      <w:pPr>
        <w:pStyle w:val="BodyText"/>
        <w:spacing w:before="20"/>
        <w:ind w:left="0"/>
      </w:pPr>
    </w:p>
    <w:p w14:paraId="57E3CE8C" w14:textId="77777777" w:rsidR="00B26843" w:rsidRDefault="00000000">
      <w:pPr>
        <w:pStyle w:val="Heading1"/>
        <w:spacing w:before="1" w:line="276" w:lineRule="exact"/>
      </w:pPr>
      <w:r>
        <w:t>Patient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leaflets/</w:t>
      </w:r>
      <w:r>
        <w:rPr>
          <w:spacing w:val="-3"/>
        </w:rPr>
        <w:t xml:space="preserve"> </w:t>
      </w:r>
      <w:r>
        <w:rPr>
          <w:spacing w:val="-4"/>
        </w:rPr>
        <w:t>PDAs</w:t>
      </w:r>
    </w:p>
    <w:p w14:paraId="57E3CE8D" w14:textId="77777777" w:rsidR="00B26843" w:rsidRDefault="00000000">
      <w:pPr>
        <w:pStyle w:val="BodyText"/>
        <w:spacing w:line="252" w:lineRule="exact"/>
        <w:ind w:left="113"/>
      </w:pPr>
      <w:r>
        <w:rPr>
          <w:color w:val="202020"/>
        </w:rPr>
        <w:t>Provide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information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about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local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national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charities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support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groups,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including:</w:t>
      </w:r>
    </w:p>
    <w:p w14:paraId="57E3CE8E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Symbol" w:hAnsi="Symbol"/>
          <w:color w:val="202020"/>
        </w:rPr>
      </w:pPr>
      <w:hyperlink r:id="rId7">
        <w:r>
          <w:rPr>
            <w:color w:val="0000FF"/>
            <w:u w:val="single" w:color="0000FF"/>
          </w:rPr>
          <w:t>Action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hearing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loss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Understanding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tinnitus.</w:t>
        </w:r>
      </w:hyperlink>
    </w:p>
    <w:p w14:paraId="57E3CE8F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8" w:line="237" w:lineRule="auto"/>
        <w:ind w:right="531"/>
        <w:rPr>
          <w:rFonts w:ascii="Symbol" w:hAnsi="Symbol"/>
          <w:color w:val="202020"/>
        </w:rPr>
      </w:pPr>
      <w:hyperlink r:id="rId8">
        <w:r>
          <w:rPr>
            <w:color w:val="0000FF"/>
            <w:u w:val="single" w:color="0000FF"/>
          </w:rPr>
          <w:t>British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Tinnitus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</w:hyperlink>
      <w:r>
        <w:rPr>
          <w:color w:val="0000FF"/>
          <w:spacing w:val="-5"/>
        </w:rPr>
        <w:t xml:space="preserve"> </w:t>
      </w:r>
      <w:r>
        <w:rPr>
          <w:color w:val="202020"/>
        </w:rPr>
        <w:t>produces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an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extensive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range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tinnitus-related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 xml:space="preserve">information leaflets including </w:t>
      </w:r>
      <w:hyperlink r:id="rId9">
        <w:r>
          <w:rPr>
            <w:color w:val="005EA3"/>
            <w:u w:val="single" w:color="005EA3"/>
          </w:rPr>
          <w:t>All about tinnitus</w:t>
        </w:r>
      </w:hyperlink>
      <w:r>
        <w:rPr>
          <w:color w:val="202020"/>
        </w:rPr>
        <w:t xml:space="preserve">, </w:t>
      </w:r>
      <w:hyperlink r:id="rId10">
        <w:r>
          <w:rPr>
            <w:color w:val="005EA3"/>
            <w:u w:val="single" w:color="005EA3"/>
          </w:rPr>
          <w:t>Pulsatile tinnitus</w:t>
        </w:r>
      </w:hyperlink>
      <w:r>
        <w:rPr>
          <w:color w:val="202020"/>
        </w:rPr>
        <w:t xml:space="preserve">, and </w:t>
      </w:r>
      <w:hyperlink r:id="rId11">
        <w:r>
          <w:rPr>
            <w:color w:val="005EA3"/>
            <w:u w:val="single" w:color="005EA3"/>
          </w:rPr>
          <w:t>Self help for tinnitus</w:t>
        </w:r>
      </w:hyperlink>
      <w:r>
        <w:rPr>
          <w:color w:val="202020"/>
        </w:rPr>
        <w:t>. The telephone helpline number is 0800 018 0527.</w:t>
      </w:r>
    </w:p>
    <w:p w14:paraId="57E3CE90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64" w:lineRule="exact"/>
        <w:rPr>
          <w:rFonts w:ascii="Symbol" w:hAnsi="Symbol"/>
          <w:color w:val="202020"/>
        </w:rPr>
      </w:pPr>
      <w:hyperlink r:id="rId12">
        <w:r>
          <w:rPr>
            <w:color w:val="005EA3"/>
            <w:u w:val="single" w:color="005EA3"/>
          </w:rPr>
          <w:t>ENT</w:t>
        </w:r>
        <w:r>
          <w:rPr>
            <w:color w:val="005EA3"/>
            <w:spacing w:val="-5"/>
            <w:u w:val="single" w:color="005EA3"/>
          </w:rPr>
          <w:t xml:space="preserve"> </w:t>
        </w:r>
        <w:r>
          <w:rPr>
            <w:color w:val="005EA3"/>
            <w:u w:val="single" w:color="005EA3"/>
          </w:rPr>
          <w:t>UK</w:t>
        </w:r>
        <w:r>
          <w:rPr>
            <w:color w:val="005EA3"/>
            <w:spacing w:val="-4"/>
            <w:u w:val="single" w:color="005EA3"/>
          </w:rPr>
          <w:t xml:space="preserve"> </w:t>
        </w:r>
        <w:r>
          <w:rPr>
            <w:color w:val="005EA3"/>
            <w:u w:val="single" w:color="005EA3"/>
          </w:rPr>
          <w:t>About</w:t>
        </w:r>
        <w:r>
          <w:rPr>
            <w:color w:val="005EA3"/>
            <w:spacing w:val="-5"/>
            <w:u w:val="single" w:color="005EA3"/>
          </w:rPr>
          <w:t xml:space="preserve"> </w:t>
        </w:r>
        <w:r>
          <w:rPr>
            <w:color w:val="005EA3"/>
            <w:spacing w:val="-2"/>
            <w:u w:val="single" w:color="005EA3"/>
          </w:rPr>
          <w:t>tinnitus</w:t>
        </w:r>
      </w:hyperlink>
      <w:r>
        <w:rPr>
          <w:color w:val="202020"/>
          <w:spacing w:val="-2"/>
        </w:rPr>
        <w:t>.</w:t>
      </w:r>
    </w:p>
    <w:p w14:paraId="57E3CE91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line="268" w:lineRule="exact"/>
        <w:rPr>
          <w:rFonts w:ascii="Symbol" w:hAnsi="Symbol"/>
          <w:color w:val="202020"/>
        </w:rPr>
      </w:pPr>
      <w:hyperlink r:id="rId13">
        <w:r>
          <w:rPr>
            <w:color w:val="005EA3"/>
            <w:u w:val="single" w:color="005EA3"/>
          </w:rPr>
          <w:t>NHS.uk</w:t>
        </w:r>
        <w:r>
          <w:rPr>
            <w:color w:val="005EA3"/>
            <w:spacing w:val="-12"/>
            <w:u w:val="single" w:color="005EA3"/>
          </w:rPr>
          <w:t xml:space="preserve"> </w:t>
        </w:r>
        <w:r>
          <w:rPr>
            <w:color w:val="005EA3"/>
            <w:u w:val="single" w:color="005EA3"/>
          </w:rPr>
          <w:t>information</w:t>
        </w:r>
        <w:r>
          <w:rPr>
            <w:color w:val="005EA3"/>
            <w:spacing w:val="-11"/>
            <w:u w:val="single" w:color="005EA3"/>
          </w:rPr>
          <w:t xml:space="preserve"> </w:t>
        </w:r>
        <w:r>
          <w:rPr>
            <w:color w:val="005EA3"/>
            <w:u w:val="single" w:color="005EA3"/>
          </w:rPr>
          <w:t>on</w:t>
        </w:r>
        <w:r>
          <w:rPr>
            <w:color w:val="005EA3"/>
            <w:spacing w:val="-11"/>
            <w:u w:val="single" w:color="005EA3"/>
          </w:rPr>
          <w:t xml:space="preserve"> </w:t>
        </w:r>
        <w:r>
          <w:rPr>
            <w:color w:val="005EA3"/>
            <w:spacing w:val="-2"/>
            <w:u w:val="single" w:color="005EA3"/>
          </w:rPr>
          <w:t>Tinnitus</w:t>
        </w:r>
      </w:hyperlink>
    </w:p>
    <w:p w14:paraId="57E3CE92" w14:textId="77777777" w:rsidR="00B26843" w:rsidRDefault="00000000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Symbol" w:hAnsi="Symbol"/>
          <w:color w:val="202020"/>
        </w:rPr>
      </w:pPr>
      <w:hyperlink r:id="rId14" w:anchor="%3A~%3Atext%3DWhen%20you%20can%20hear%20sounds%2Ccause%20but%20can%20be%20treated">
        <w:r>
          <w:rPr>
            <w:color w:val="0000FF"/>
            <w:spacing w:val="-2"/>
            <w:u w:val="single" w:color="0000FF"/>
          </w:rPr>
          <w:t>Patient.co.uk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information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Tinnitus</w:t>
        </w:r>
      </w:hyperlink>
    </w:p>
    <w:p w14:paraId="57E3CE93" w14:textId="77777777" w:rsidR="00B26843" w:rsidRDefault="00B26843">
      <w:pPr>
        <w:pStyle w:val="BodyText"/>
        <w:spacing w:before="3"/>
        <w:ind w:left="0"/>
        <w:rPr>
          <w:sz w:val="24"/>
        </w:rPr>
      </w:pPr>
    </w:p>
    <w:p w14:paraId="57E3CE94" w14:textId="77777777" w:rsidR="00B26843" w:rsidRDefault="00000000">
      <w:pPr>
        <w:pStyle w:val="Heading1"/>
        <w:spacing w:line="276" w:lineRule="exact"/>
      </w:pPr>
      <w:r>
        <w:rPr>
          <w:spacing w:val="-2"/>
        </w:rPr>
        <w:t>References</w:t>
      </w:r>
    </w:p>
    <w:p w14:paraId="57E3CE95" w14:textId="77777777" w:rsidR="00B26843" w:rsidRDefault="00000000">
      <w:pPr>
        <w:pStyle w:val="BodyText"/>
        <w:spacing w:line="252" w:lineRule="exact"/>
        <w:ind w:left="113"/>
      </w:pPr>
      <w:hyperlink r:id="rId15">
        <w:r>
          <w:rPr>
            <w:color w:val="0000FF"/>
            <w:u w:val="single" w:color="0000FF"/>
          </w:rPr>
          <w:t>NICE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CKS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Management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tinnitus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March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2020</w:t>
        </w:r>
      </w:hyperlink>
    </w:p>
    <w:p w14:paraId="57E3CE96" w14:textId="77777777" w:rsidR="00B26843" w:rsidRDefault="00000000">
      <w:pPr>
        <w:pStyle w:val="BodyText"/>
        <w:spacing w:line="252" w:lineRule="exact"/>
        <w:ind w:left="113"/>
      </w:pPr>
      <w:hyperlink r:id="rId16">
        <w:r>
          <w:rPr>
            <w:color w:val="0000FF"/>
            <w:u w:val="single" w:color="0000FF"/>
          </w:rPr>
          <w:t>NICE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NG155: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Tinnitus: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assessment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management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March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2020</w:t>
        </w:r>
      </w:hyperlink>
    </w:p>
    <w:p w14:paraId="57E3CE97" w14:textId="77777777" w:rsidR="00B26843" w:rsidRDefault="00B26843">
      <w:pPr>
        <w:pStyle w:val="BodyText"/>
        <w:ind w:left="0"/>
        <w:rPr>
          <w:sz w:val="18"/>
        </w:rPr>
      </w:pPr>
    </w:p>
    <w:p w14:paraId="57E3CE98" w14:textId="77777777" w:rsidR="00B26843" w:rsidRDefault="00B26843">
      <w:pPr>
        <w:pStyle w:val="BodyText"/>
        <w:spacing w:before="90"/>
        <w:ind w:left="0"/>
        <w:rPr>
          <w:sz w:val="18"/>
        </w:rPr>
      </w:pPr>
    </w:p>
    <w:p w14:paraId="57E3CE99" w14:textId="77777777" w:rsidR="00B26843" w:rsidRDefault="00000000">
      <w:pPr>
        <w:tabs>
          <w:tab w:val="left" w:pos="7600"/>
        </w:tabs>
        <w:ind w:left="113"/>
        <w:rPr>
          <w:sz w:val="18"/>
        </w:rPr>
      </w:pPr>
      <w:r>
        <w:rPr>
          <w:spacing w:val="-2"/>
          <w:sz w:val="18"/>
        </w:rPr>
        <w:t>Responsible</w:t>
      </w:r>
      <w:r>
        <w:rPr>
          <w:sz w:val="18"/>
        </w:rPr>
        <w:t xml:space="preserve"> </w:t>
      </w:r>
      <w:r>
        <w:rPr>
          <w:spacing w:val="-2"/>
          <w:sz w:val="18"/>
        </w:rPr>
        <w:t>GP: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Tillmann Jacobi</w:t>
      </w:r>
      <w:r>
        <w:rPr>
          <w:sz w:val="18"/>
        </w:rPr>
        <w:tab/>
        <w:t>Date</w:t>
      </w:r>
      <w:r>
        <w:rPr>
          <w:spacing w:val="-7"/>
          <w:sz w:val="18"/>
        </w:rPr>
        <w:t xml:space="preserve"> </w:t>
      </w:r>
      <w:r>
        <w:rPr>
          <w:sz w:val="18"/>
        </w:rPr>
        <w:t>published:</w:t>
      </w:r>
      <w:r>
        <w:rPr>
          <w:spacing w:val="-4"/>
          <w:sz w:val="18"/>
        </w:rPr>
        <w:t xml:space="preserve"> </w:t>
      </w:r>
      <w:r>
        <w:rPr>
          <w:sz w:val="18"/>
        </w:rPr>
        <w:t>Jan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2022</w:t>
      </w:r>
    </w:p>
    <w:p w14:paraId="57E3CE9A" w14:textId="77777777" w:rsidR="00B26843" w:rsidRDefault="00000000">
      <w:pPr>
        <w:tabs>
          <w:tab w:val="left" w:pos="7710"/>
        </w:tabs>
        <w:spacing w:before="2"/>
        <w:ind w:left="113"/>
        <w:rPr>
          <w:sz w:val="18"/>
        </w:rPr>
      </w:pPr>
      <w:r>
        <w:rPr>
          <w:spacing w:val="-2"/>
          <w:sz w:val="18"/>
        </w:rPr>
        <w:t>Responsible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Consultant: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Alastair</w:t>
      </w:r>
      <w:r>
        <w:rPr>
          <w:sz w:val="18"/>
        </w:rPr>
        <w:t xml:space="preserve"> </w:t>
      </w:r>
      <w:r>
        <w:rPr>
          <w:spacing w:val="-4"/>
          <w:sz w:val="18"/>
        </w:rPr>
        <w:t>Mace</w:t>
      </w:r>
      <w:r>
        <w:rPr>
          <w:sz w:val="18"/>
        </w:rPr>
        <w:tab/>
        <w:t>Next</w:t>
      </w:r>
      <w:r>
        <w:rPr>
          <w:spacing w:val="-5"/>
          <w:sz w:val="18"/>
        </w:rPr>
        <w:t xml:space="preserve"> </w:t>
      </w:r>
      <w:r>
        <w:rPr>
          <w:sz w:val="18"/>
        </w:rPr>
        <w:t>Review:</w:t>
      </w:r>
      <w:r>
        <w:rPr>
          <w:spacing w:val="-6"/>
          <w:sz w:val="18"/>
        </w:rPr>
        <w:t xml:space="preserve"> </w:t>
      </w:r>
      <w:r>
        <w:rPr>
          <w:sz w:val="18"/>
        </w:rPr>
        <w:t>June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2026</w:t>
      </w:r>
    </w:p>
    <w:p w14:paraId="57E3CE9B" w14:textId="77777777" w:rsidR="00B26843" w:rsidRDefault="00B26843">
      <w:pPr>
        <w:pStyle w:val="BodyText"/>
        <w:spacing w:before="2"/>
        <w:ind w:left="0"/>
        <w:rPr>
          <w:sz w:val="18"/>
        </w:rPr>
      </w:pPr>
    </w:p>
    <w:p w14:paraId="57E3CE9C" w14:textId="77777777" w:rsidR="00B26843" w:rsidRDefault="00000000">
      <w:pPr>
        <w:ind w:left="113"/>
        <w:rPr>
          <w:sz w:val="18"/>
        </w:rPr>
      </w:pPr>
      <w:r>
        <w:rPr>
          <w:sz w:val="18"/>
        </w:rPr>
        <w:t>©NHS</w:t>
      </w:r>
      <w:r>
        <w:rPr>
          <w:spacing w:val="-13"/>
          <w:sz w:val="18"/>
        </w:rPr>
        <w:t xml:space="preserve"> </w:t>
      </w:r>
      <w:r>
        <w:rPr>
          <w:sz w:val="18"/>
        </w:rPr>
        <w:t>Vale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York</w:t>
      </w:r>
      <w:r>
        <w:rPr>
          <w:spacing w:val="-10"/>
          <w:sz w:val="18"/>
        </w:rPr>
        <w:t xml:space="preserve"> </w:t>
      </w:r>
      <w:r>
        <w:rPr>
          <w:sz w:val="18"/>
        </w:rPr>
        <w:t>Clinical</w:t>
      </w:r>
      <w:r>
        <w:rPr>
          <w:spacing w:val="-10"/>
          <w:sz w:val="18"/>
        </w:rPr>
        <w:t xml:space="preserve"> </w:t>
      </w:r>
      <w:r>
        <w:rPr>
          <w:sz w:val="18"/>
        </w:rPr>
        <w:t>Commissioning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Group</w:t>
      </w:r>
    </w:p>
    <w:p w14:paraId="57E3CE9D" w14:textId="77777777" w:rsidR="00B26843" w:rsidRDefault="00000000">
      <w:pPr>
        <w:spacing w:before="2"/>
        <w:ind w:left="113" w:right="35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on-line</w:t>
      </w:r>
      <w:r>
        <w:rPr>
          <w:spacing w:val="-4"/>
          <w:sz w:val="18"/>
        </w:rPr>
        <w:t xml:space="preserve"> </w:t>
      </w:r>
      <w:r>
        <w:rPr>
          <w:sz w:val="18"/>
        </w:rPr>
        <w:t>version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7"/>
          <w:sz w:val="18"/>
        </w:rPr>
        <w:t xml:space="preserve"> </w:t>
      </w:r>
      <w:r>
        <w:rPr>
          <w:sz w:val="18"/>
        </w:rPr>
        <w:t>version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maintained.</w:t>
      </w:r>
      <w:r>
        <w:rPr>
          <w:spacing w:val="35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printed</w:t>
      </w:r>
      <w:r>
        <w:rPr>
          <w:spacing w:val="-6"/>
          <w:sz w:val="18"/>
        </w:rPr>
        <w:t xml:space="preserve"> </w:t>
      </w:r>
      <w:r>
        <w:rPr>
          <w:sz w:val="18"/>
        </w:rPr>
        <w:t>copies</w:t>
      </w:r>
      <w:r>
        <w:rPr>
          <w:spacing w:val="-3"/>
          <w:sz w:val="18"/>
        </w:rPr>
        <w:t xml:space="preserve"> </w:t>
      </w:r>
      <w:r>
        <w:rPr>
          <w:sz w:val="18"/>
        </w:rPr>
        <w:t>should,</w:t>
      </w:r>
      <w:r>
        <w:rPr>
          <w:spacing w:val="-5"/>
          <w:sz w:val="18"/>
        </w:rPr>
        <w:t xml:space="preserve"> </w:t>
      </w:r>
      <w:r>
        <w:rPr>
          <w:sz w:val="18"/>
        </w:rPr>
        <w:t>therefore,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viewed</w:t>
      </w:r>
      <w:r>
        <w:rPr>
          <w:spacing w:val="-6"/>
          <w:sz w:val="18"/>
        </w:rPr>
        <w:t xml:space="preserve"> </w:t>
      </w:r>
      <w:r>
        <w:rPr>
          <w:sz w:val="18"/>
        </w:rPr>
        <w:t>as ‘uncontrolled’ and as such may not contain the latest updates and amendments.</w:t>
      </w:r>
    </w:p>
    <w:sectPr w:rsidR="00B26843">
      <w:pgSz w:w="11920" w:h="16850"/>
      <w:pgMar w:top="90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E1AFC"/>
    <w:multiLevelType w:val="hybridMultilevel"/>
    <w:tmpl w:val="C5721C16"/>
    <w:lvl w:ilvl="0" w:tplc="EC92525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060B186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2" w:tplc="1250CE9A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3" w:tplc="69B0272E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8E8E7D1C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31166266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6B645A94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33D6E75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  <w:lvl w:ilvl="8" w:tplc="F5823DC0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num w:numId="1" w16cid:durableId="64108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843"/>
    <w:rsid w:val="00151C8D"/>
    <w:rsid w:val="00567DA7"/>
    <w:rsid w:val="00B2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CE53"/>
  <w15:docId w15:val="{F597AAA8-4071-42DC-A721-4AAE7215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3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/>
    </w:pPr>
  </w:style>
  <w:style w:type="paragraph" w:styleId="Title">
    <w:name w:val="Title"/>
    <w:basedOn w:val="Normal"/>
    <w:uiPriority w:val="10"/>
    <w:qFormat/>
    <w:pPr>
      <w:spacing w:before="89"/>
      <w:ind w:left="11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nitus.org.uk/" TargetMode="External"/><Relationship Id="rId13" Type="http://schemas.openxmlformats.org/officeDocument/2006/relationships/hyperlink" Target="https://www.nhs.uk/conditions/tinnitu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nid.org.uk/wp-content/uploads/2020/05/Understanding-tinnitus-leaflet.pdf" TargetMode="External"/><Relationship Id="rId12" Type="http://schemas.openxmlformats.org/officeDocument/2006/relationships/hyperlink" Target="https://www.entuk.org/sites/default/files/files/2012-2015%20About%20Tinnitus%206pp%20DL%20(09028)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ice.org.uk/guidance/ng15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innitus.org.uk/self-hel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ks.nice.org.uk/topics/tinnitus/management/management/" TargetMode="External"/><Relationship Id="rId10" Type="http://schemas.openxmlformats.org/officeDocument/2006/relationships/hyperlink" Target="https://www.tinnitus.org.uk/pulsatile-tinnit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nnitus.org.uk/all-about-tinnitus" TargetMode="External"/><Relationship Id="rId14" Type="http://schemas.openxmlformats.org/officeDocument/2006/relationships/hyperlink" Target="https://patient.info/ears-nose-throat-mouth/tinnitus-leaf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LEE, Lesley (NHS HUMBER AND NORTH YORKSHIRE ICB - 03Q)</cp:lastModifiedBy>
  <cp:revision>2</cp:revision>
  <dcterms:created xsi:type="dcterms:W3CDTF">2025-06-20T07:54:00Z</dcterms:created>
  <dcterms:modified xsi:type="dcterms:W3CDTF">2025-06-20T07:56:00Z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for Microsoft 365</vt:lpwstr>
  </property>
</Properties>
</file>