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9E992" w14:textId="77777777" w:rsidR="00F82F3D" w:rsidRPr="007E18CD" w:rsidRDefault="00F82F3D" w:rsidP="00F63E73">
      <w:pPr>
        <w:pStyle w:val="Title"/>
      </w:pPr>
    </w:p>
    <w:p w14:paraId="041B1BCC" w14:textId="77777777" w:rsidR="00577FC3" w:rsidRPr="00F63E73" w:rsidRDefault="00EC1748" w:rsidP="00F63E73">
      <w:pPr>
        <w:pStyle w:val="Title"/>
      </w:pPr>
      <w:r>
        <w:t xml:space="preserve"> Confidentiality</w:t>
      </w:r>
      <w:r w:rsidR="00F56153">
        <w:t>: Code of Conduct</w:t>
      </w:r>
    </w:p>
    <w:p w14:paraId="1F0612A4" w14:textId="38888151" w:rsidR="00D3663D" w:rsidRPr="00E0146D" w:rsidRDefault="00E763BD" w:rsidP="00E0146D">
      <w:pPr>
        <w:pStyle w:val="Subtitle"/>
      </w:pPr>
      <w:r>
        <w:t>April 2021</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E97686" w14:paraId="5B42AD42" w14:textId="77777777" w:rsidTr="00F47AA9">
        <w:trPr>
          <w:jc w:val="center"/>
        </w:trPr>
        <w:tc>
          <w:tcPr>
            <w:tcW w:w="2662" w:type="dxa"/>
            <w:shd w:val="clear" w:color="auto" w:fill="95B3D7"/>
            <w:vAlign w:val="center"/>
          </w:tcPr>
          <w:p w14:paraId="4705D387" w14:textId="77777777" w:rsidR="00F47AA9" w:rsidRPr="00E97686" w:rsidRDefault="00F47AA9" w:rsidP="006C66BF">
            <w:pPr>
              <w:spacing w:after="0"/>
              <w:ind w:left="0"/>
            </w:pPr>
            <w:r w:rsidRPr="00E97686">
              <w:t xml:space="preserve">Authorship: </w:t>
            </w:r>
          </w:p>
        </w:tc>
        <w:tc>
          <w:tcPr>
            <w:tcW w:w="7227" w:type="dxa"/>
            <w:shd w:val="clear" w:color="auto" w:fill="95B3D7"/>
            <w:vAlign w:val="center"/>
          </w:tcPr>
          <w:p w14:paraId="4590B37D" w14:textId="77777777" w:rsidR="00F47AA9" w:rsidRPr="00E97686" w:rsidRDefault="00361D8A" w:rsidP="006C66BF">
            <w:pPr>
              <w:spacing w:after="0"/>
              <w:ind w:left="0"/>
            </w:pPr>
            <w:r>
              <w:t>Senior Information Governance Officer; NECS</w:t>
            </w:r>
          </w:p>
        </w:tc>
      </w:tr>
      <w:tr w:rsidR="00263E5B" w:rsidRPr="00E97686" w14:paraId="5DF766E0" w14:textId="77777777" w:rsidTr="00F47AA9">
        <w:trPr>
          <w:jc w:val="center"/>
        </w:trPr>
        <w:tc>
          <w:tcPr>
            <w:tcW w:w="2662" w:type="dxa"/>
            <w:shd w:val="clear" w:color="auto" w:fill="B8CCE4"/>
            <w:vAlign w:val="center"/>
          </w:tcPr>
          <w:p w14:paraId="27FD9791" w14:textId="77777777" w:rsidR="00263E5B" w:rsidRPr="00E97686" w:rsidRDefault="00263E5B" w:rsidP="006C66BF">
            <w:pPr>
              <w:spacing w:after="0"/>
              <w:ind w:left="0"/>
            </w:pPr>
            <w:r w:rsidRPr="00E97686">
              <w:t xml:space="preserve">Committee Approved: </w:t>
            </w:r>
          </w:p>
        </w:tc>
        <w:tc>
          <w:tcPr>
            <w:tcW w:w="7227" w:type="dxa"/>
            <w:shd w:val="clear" w:color="auto" w:fill="B8CCE4"/>
            <w:vAlign w:val="center"/>
          </w:tcPr>
          <w:p w14:paraId="46AC604E" w14:textId="76093F25" w:rsidR="00263E5B" w:rsidRPr="00A04772" w:rsidRDefault="00263E5B" w:rsidP="007E2D5A">
            <w:pPr>
              <w:spacing w:after="0"/>
              <w:ind w:left="0"/>
            </w:pPr>
            <w:r>
              <w:t xml:space="preserve">NHS </w:t>
            </w:r>
            <w:r w:rsidR="00E763BD">
              <w:t>Vale of York</w:t>
            </w:r>
            <w:r>
              <w:t xml:space="preserve"> CCG Audit Committee</w:t>
            </w:r>
          </w:p>
        </w:tc>
      </w:tr>
      <w:tr w:rsidR="00F47AA9" w:rsidRPr="00E97686" w14:paraId="04EEADA3" w14:textId="77777777" w:rsidTr="00F47AA9">
        <w:trPr>
          <w:jc w:val="center"/>
        </w:trPr>
        <w:tc>
          <w:tcPr>
            <w:tcW w:w="2662" w:type="dxa"/>
            <w:shd w:val="clear" w:color="auto" w:fill="95B3D7"/>
            <w:vAlign w:val="center"/>
          </w:tcPr>
          <w:p w14:paraId="773297B5" w14:textId="77777777" w:rsidR="00F47AA9" w:rsidRPr="00E97686" w:rsidRDefault="00F47AA9" w:rsidP="006C66BF">
            <w:pPr>
              <w:spacing w:after="0"/>
              <w:ind w:left="0"/>
            </w:pPr>
            <w:r w:rsidRPr="00E97686">
              <w:t>Approved date:</w:t>
            </w:r>
          </w:p>
        </w:tc>
        <w:tc>
          <w:tcPr>
            <w:tcW w:w="7227" w:type="dxa"/>
            <w:shd w:val="clear" w:color="auto" w:fill="95B3D7"/>
            <w:vAlign w:val="center"/>
          </w:tcPr>
          <w:p w14:paraId="6AF2F004" w14:textId="2B6559AB" w:rsidR="00F47AA9" w:rsidRPr="00E97686" w:rsidRDefault="00E763BD" w:rsidP="006C66BF">
            <w:pPr>
              <w:spacing w:after="0"/>
              <w:ind w:left="0"/>
            </w:pPr>
            <w:r>
              <w:t>April 2021</w:t>
            </w:r>
            <w:r w:rsidR="00F47AA9" w:rsidRPr="00E97686">
              <w:t xml:space="preserve"> </w:t>
            </w:r>
          </w:p>
        </w:tc>
      </w:tr>
      <w:tr w:rsidR="00F47AA9" w:rsidRPr="00E97686" w14:paraId="2EA3A9F0" w14:textId="77777777" w:rsidTr="00F47AA9">
        <w:trPr>
          <w:jc w:val="center"/>
        </w:trPr>
        <w:tc>
          <w:tcPr>
            <w:tcW w:w="2662" w:type="dxa"/>
            <w:shd w:val="clear" w:color="auto" w:fill="B8CCE4"/>
            <w:vAlign w:val="center"/>
          </w:tcPr>
          <w:p w14:paraId="5387F425" w14:textId="77777777" w:rsidR="00F47AA9" w:rsidRPr="00E97686" w:rsidRDefault="00F47AA9" w:rsidP="006C66BF">
            <w:pPr>
              <w:spacing w:after="0"/>
              <w:ind w:left="0"/>
            </w:pPr>
            <w:r w:rsidRPr="00E97686">
              <w:t xml:space="preserve">Review Date: </w:t>
            </w:r>
          </w:p>
        </w:tc>
        <w:tc>
          <w:tcPr>
            <w:tcW w:w="7227" w:type="dxa"/>
            <w:shd w:val="clear" w:color="auto" w:fill="B8CCE4"/>
            <w:vAlign w:val="center"/>
          </w:tcPr>
          <w:p w14:paraId="21AE168B" w14:textId="4DAC25FC" w:rsidR="00F47AA9" w:rsidRPr="00E97686" w:rsidRDefault="00E763BD" w:rsidP="006C66BF">
            <w:pPr>
              <w:spacing w:after="0"/>
              <w:ind w:left="0"/>
            </w:pPr>
            <w:r>
              <w:t>April 202</w:t>
            </w:r>
            <w:r w:rsidR="00927CD4">
              <w:t>4</w:t>
            </w:r>
          </w:p>
        </w:tc>
      </w:tr>
      <w:tr w:rsidR="00F47AA9" w:rsidRPr="00E97686" w14:paraId="475AC2CB" w14:textId="77777777" w:rsidTr="00F47AA9">
        <w:trPr>
          <w:jc w:val="center"/>
        </w:trPr>
        <w:tc>
          <w:tcPr>
            <w:tcW w:w="2662" w:type="dxa"/>
            <w:shd w:val="clear" w:color="auto" w:fill="95B3D7"/>
            <w:vAlign w:val="center"/>
          </w:tcPr>
          <w:p w14:paraId="57BB350D" w14:textId="77777777" w:rsidR="00F47AA9" w:rsidRPr="00E97686" w:rsidRDefault="00F47AA9" w:rsidP="006C66BF">
            <w:pPr>
              <w:spacing w:after="0"/>
              <w:ind w:left="0"/>
            </w:pPr>
            <w:r w:rsidRPr="00E97686">
              <w:t>Equality Impact Assessment:</w:t>
            </w:r>
          </w:p>
        </w:tc>
        <w:tc>
          <w:tcPr>
            <w:tcW w:w="7227" w:type="dxa"/>
            <w:shd w:val="clear" w:color="auto" w:fill="95B3D7"/>
            <w:vAlign w:val="center"/>
          </w:tcPr>
          <w:p w14:paraId="43EF1DE5" w14:textId="77777777" w:rsidR="00F47AA9" w:rsidRPr="00E97686" w:rsidRDefault="00361D8A" w:rsidP="006C66BF">
            <w:pPr>
              <w:spacing w:after="0"/>
              <w:ind w:left="0"/>
            </w:pPr>
            <w:r>
              <w:t>Yes</w:t>
            </w:r>
          </w:p>
        </w:tc>
      </w:tr>
      <w:tr w:rsidR="00F47AA9" w:rsidRPr="00E97686" w14:paraId="63EAB7D9" w14:textId="77777777" w:rsidTr="00F47AA9">
        <w:trPr>
          <w:jc w:val="center"/>
        </w:trPr>
        <w:tc>
          <w:tcPr>
            <w:tcW w:w="2662" w:type="dxa"/>
            <w:shd w:val="clear" w:color="auto" w:fill="B8CCE4"/>
            <w:vAlign w:val="center"/>
          </w:tcPr>
          <w:p w14:paraId="7FEFAF19" w14:textId="77777777" w:rsidR="00F47AA9" w:rsidRPr="00E97686" w:rsidRDefault="00F47AA9" w:rsidP="006C66BF">
            <w:pPr>
              <w:spacing w:after="0"/>
              <w:ind w:left="0"/>
            </w:pPr>
            <w:r w:rsidRPr="00E97686">
              <w:t>Sustainability Impact Assessment:</w:t>
            </w:r>
          </w:p>
        </w:tc>
        <w:tc>
          <w:tcPr>
            <w:tcW w:w="7227" w:type="dxa"/>
            <w:shd w:val="clear" w:color="auto" w:fill="B8CCE4"/>
            <w:vAlign w:val="center"/>
          </w:tcPr>
          <w:p w14:paraId="291D4B9E" w14:textId="77777777" w:rsidR="00F47AA9" w:rsidRPr="00E97686" w:rsidRDefault="00361D8A" w:rsidP="006C66BF">
            <w:pPr>
              <w:spacing w:after="0"/>
              <w:ind w:left="0"/>
            </w:pPr>
            <w:r>
              <w:t>Yes</w:t>
            </w:r>
          </w:p>
        </w:tc>
      </w:tr>
      <w:tr w:rsidR="00F47AA9" w:rsidRPr="00E97686" w14:paraId="4E412AA7" w14:textId="77777777" w:rsidTr="00F47AA9">
        <w:trPr>
          <w:jc w:val="center"/>
        </w:trPr>
        <w:tc>
          <w:tcPr>
            <w:tcW w:w="2662" w:type="dxa"/>
            <w:shd w:val="clear" w:color="auto" w:fill="95B3D7"/>
            <w:vAlign w:val="center"/>
          </w:tcPr>
          <w:p w14:paraId="3E9BFCAA" w14:textId="77777777" w:rsidR="00F47AA9" w:rsidRPr="00E97686" w:rsidRDefault="00F47AA9" w:rsidP="006C66BF">
            <w:pPr>
              <w:spacing w:after="0"/>
              <w:ind w:left="0"/>
            </w:pPr>
            <w:r w:rsidRPr="00E97686">
              <w:t>Target Audience:</w:t>
            </w:r>
          </w:p>
        </w:tc>
        <w:tc>
          <w:tcPr>
            <w:tcW w:w="7227" w:type="dxa"/>
            <w:shd w:val="clear" w:color="auto" w:fill="95B3D7"/>
            <w:vAlign w:val="center"/>
          </w:tcPr>
          <w:p w14:paraId="0138D0C4" w14:textId="77777777" w:rsidR="00F47AA9" w:rsidRPr="00E97686" w:rsidRDefault="00F47AA9" w:rsidP="006C66BF">
            <w:pPr>
              <w:spacing w:after="0"/>
              <w:ind w:left="0"/>
            </w:pPr>
            <w:r w:rsidRPr="00E97686">
              <w:t>Governing Body and its Committees and Sub-Committees, CCG Staff, agency and temporary staff &amp; third parties under contract</w:t>
            </w:r>
          </w:p>
          <w:p w14:paraId="7BAD9BDB" w14:textId="77777777" w:rsidR="00F47AA9" w:rsidRPr="00E97686" w:rsidRDefault="00F47AA9" w:rsidP="006C66BF">
            <w:pPr>
              <w:spacing w:after="0"/>
              <w:ind w:left="0"/>
            </w:pPr>
          </w:p>
        </w:tc>
      </w:tr>
      <w:tr w:rsidR="00F47AA9" w:rsidRPr="00E97686" w14:paraId="5BBFAF3A" w14:textId="77777777" w:rsidTr="00F47AA9">
        <w:trPr>
          <w:jc w:val="center"/>
        </w:trPr>
        <w:tc>
          <w:tcPr>
            <w:tcW w:w="2662" w:type="dxa"/>
            <w:shd w:val="clear" w:color="auto" w:fill="B8CCE4"/>
            <w:vAlign w:val="center"/>
          </w:tcPr>
          <w:p w14:paraId="350E250E" w14:textId="77777777" w:rsidR="00F47AA9" w:rsidRPr="00E97686" w:rsidRDefault="00F47AA9" w:rsidP="006C66BF">
            <w:pPr>
              <w:spacing w:after="0"/>
              <w:ind w:left="0"/>
            </w:pPr>
            <w:r w:rsidRPr="00E97686">
              <w:t>Policy Number:</w:t>
            </w:r>
          </w:p>
        </w:tc>
        <w:tc>
          <w:tcPr>
            <w:tcW w:w="7227" w:type="dxa"/>
            <w:shd w:val="clear" w:color="auto" w:fill="B8CCE4"/>
            <w:vAlign w:val="center"/>
          </w:tcPr>
          <w:p w14:paraId="7AB06280" w14:textId="6366C266" w:rsidR="00F47AA9" w:rsidRPr="007E18CD" w:rsidRDefault="00E763BD" w:rsidP="006C66BF">
            <w:pPr>
              <w:spacing w:before="120" w:after="120"/>
              <w:ind w:left="0"/>
              <w:rPr>
                <w:color w:val="FFFFFF"/>
                <w:szCs w:val="24"/>
              </w:rPr>
            </w:pPr>
            <w:r>
              <w:rPr>
                <w:szCs w:val="24"/>
              </w:rPr>
              <w:t>To Be inserted by CCG</w:t>
            </w:r>
          </w:p>
        </w:tc>
      </w:tr>
      <w:tr w:rsidR="00F47AA9" w:rsidRPr="00E97686" w14:paraId="5F00AC10" w14:textId="77777777" w:rsidTr="00F47AA9">
        <w:trPr>
          <w:jc w:val="center"/>
        </w:trPr>
        <w:tc>
          <w:tcPr>
            <w:tcW w:w="2662" w:type="dxa"/>
            <w:shd w:val="clear" w:color="auto" w:fill="95B3D7"/>
            <w:vAlign w:val="center"/>
          </w:tcPr>
          <w:p w14:paraId="63B21F1B" w14:textId="77777777" w:rsidR="00F47AA9" w:rsidRPr="00E97686" w:rsidRDefault="00F47AA9" w:rsidP="006C66BF">
            <w:pPr>
              <w:spacing w:after="0"/>
              <w:ind w:left="0"/>
            </w:pPr>
            <w:r w:rsidRPr="00E97686">
              <w:t>Version Number:</w:t>
            </w:r>
            <w:r w:rsidRPr="00E97686">
              <w:tab/>
            </w:r>
          </w:p>
        </w:tc>
        <w:tc>
          <w:tcPr>
            <w:tcW w:w="7227" w:type="dxa"/>
            <w:shd w:val="clear" w:color="auto" w:fill="95B3D7"/>
            <w:vAlign w:val="center"/>
          </w:tcPr>
          <w:p w14:paraId="4360433F" w14:textId="77777777" w:rsidR="00F47AA9" w:rsidRPr="00E97686" w:rsidRDefault="00417D26" w:rsidP="006C66BF">
            <w:pPr>
              <w:spacing w:after="0"/>
              <w:ind w:left="0"/>
            </w:pPr>
            <w:r>
              <w:t>1.0</w:t>
            </w:r>
          </w:p>
        </w:tc>
      </w:tr>
    </w:tbl>
    <w:p w14:paraId="37D5DC65" w14:textId="77777777" w:rsidR="001715DE" w:rsidRPr="007E18CD" w:rsidRDefault="001715DE" w:rsidP="001715DE">
      <w:pPr>
        <w:rPr>
          <w:lang w:eastAsia="en-GB"/>
        </w:rPr>
      </w:pPr>
    </w:p>
    <w:p w14:paraId="2274EED4" w14:textId="77777777" w:rsidR="00577FC3" w:rsidRPr="007E18CD" w:rsidRDefault="007A714B" w:rsidP="0001761C">
      <w:pPr>
        <w:spacing w:before="240"/>
        <w:ind w:left="0"/>
        <w:jc w:val="center"/>
        <w:rPr>
          <w:b/>
        </w:rPr>
      </w:pPr>
      <w:r w:rsidRPr="007E18CD">
        <w:rPr>
          <w:b/>
        </w:rPr>
        <w:t>T</w:t>
      </w:r>
      <w:r w:rsidR="00577FC3" w:rsidRPr="007E18CD">
        <w:rPr>
          <w:b/>
        </w:rPr>
        <w:t xml:space="preserve">he </w:t>
      </w:r>
      <w:r w:rsidR="00F31F3C" w:rsidRPr="007E18CD">
        <w:rPr>
          <w:b/>
        </w:rPr>
        <w:t>on-line</w:t>
      </w:r>
      <w:r w:rsidR="00577FC3" w:rsidRPr="007E18CD">
        <w:rPr>
          <w:b/>
        </w:rPr>
        <w:t xml:space="preserve"> version is the only version that is maintained.  Any printed copies should, therefore, be viewed as ‘uncontrolled’ and as such may not necessarily contain the latest updates and amendments.</w:t>
      </w:r>
    </w:p>
    <w:p w14:paraId="7AFAF036" w14:textId="77777777" w:rsidR="00EE125C" w:rsidRPr="007E18CD" w:rsidRDefault="00EE125C" w:rsidP="00F63E73">
      <w:pPr>
        <w:pStyle w:val="Title"/>
      </w:pPr>
      <w:r w:rsidRPr="007E18CD">
        <w:br w:type="page"/>
      </w:r>
    </w:p>
    <w:p w14:paraId="07DE4679" w14:textId="77777777" w:rsidR="00BE1D7D" w:rsidRPr="007E18CD" w:rsidRDefault="00BE1D7D" w:rsidP="00E0146D">
      <w:pPr>
        <w:pStyle w:val="Subtitle"/>
      </w:pPr>
      <w:r w:rsidRPr="007E18CD">
        <w:lastRenderedPageBreak/>
        <w:t>POLICY AMENDMENTS</w:t>
      </w:r>
    </w:p>
    <w:p w14:paraId="7542575C" w14:textId="77777777" w:rsidR="00BE1D7D" w:rsidRPr="007E18CD" w:rsidRDefault="00BE1D7D" w:rsidP="001715DE">
      <w:pPr>
        <w:pStyle w:val="Para1"/>
        <w:jc w:val="center"/>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0D1E6899" w14:textId="77777777" w:rsidR="00E01AF3" w:rsidRPr="007E18CD" w:rsidRDefault="00E01AF3" w:rsidP="00E01AF3">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67F8A40E" w14:textId="77777777" w:rsidTr="00F47AA9">
        <w:tc>
          <w:tcPr>
            <w:tcW w:w="1526" w:type="dxa"/>
            <w:shd w:val="clear" w:color="auto" w:fill="95B3D7"/>
            <w:vAlign w:val="center"/>
          </w:tcPr>
          <w:p w14:paraId="629F78F1"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New Version Number</w:t>
            </w:r>
          </w:p>
        </w:tc>
        <w:tc>
          <w:tcPr>
            <w:tcW w:w="1984" w:type="dxa"/>
            <w:shd w:val="clear" w:color="auto" w:fill="95B3D7"/>
            <w:vAlign w:val="center"/>
          </w:tcPr>
          <w:p w14:paraId="1AEF9AB5"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Issued by</w:t>
            </w:r>
          </w:p>
        </w:tc>
        <w:tc>
          <w:tcPr>
            <w:tcW w:w="2693" w:type="dxa"/>
            <w:shd w:val="clear" w:color="auto" w:fill="95B3D7"/>
            <w:vAlign w:val="center"/>
          </w:tcPr>
          <w:p w14:paraId="750ECD78" w14:textId="77777777" w:rsidR="00D3663D" w:rsidRPr="007E18CD" w:rsidRDefault="00D3663D" w:rsidP="00D3663D">
            <w:pPr>
              <w:autoSpaceDE w:val="0"/>
              <w:autoSpaceDN w:val="0"/>
              <w:adjustRightInd w:val="0"/>
              <w:spacing w:before="120" w:after="120"/>
              <w:ind w:left="0"/>
              <w:jc w:val="center"/>
              <w:rPr>
                <w:rFonts w:cs="Arial"/>
                <w:szCs w:val="24"/>
              </w:rPr>
            </w:pPr>
            <w:r w:rsidRPr="007E18CD">
              <w:rPr>
                <w:rFonts w:cs="Arial"/>
                <w:b/>
                <w:bCs/>
                <w:szCs w:val="24"/>
              </w:rPr>
              <w:t>Nature of Amendment</w:t>
            </w:r>
          </w:p>
        </w:tc>
        <w:tc>
          <w:tcPr>
            <w:tcW w:w="2693" w:type="dxa"/>
            <w:shd w:val="clear" w:color="auto" w:fill="95B3D7"/>
            <w:vAlign w:val="center"/>
          </w:tcPr>
          <w:p w14:paraId="53ED6BE1"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Approved by &amp; Date</w:t>
            </w:r>
          </w:p>
        </w:tc>
        <w:tc>
          <w:tcPr>
            <w:tcW w:w="1560" w:type="dxa"/>
            <w:shd w:val="clear" w:color="auto" w:fill="95B3D7"/>
            <w:vAlign w:val="center"/>
          </w:tcPr>
          <w:p w14:paraId="5650772C"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Date on Intranet</w:t>
            </w:r>
          </w:p>
        </w:tc>
      </w:tr>
      <w:tr w:rsidR="00417D26" w:rsidRPr="007E18CD" w14:paraId="0CB04686" w14:textId="77777777" w:rsidTr="00186872">
        <w:tc>
          <w:tcPr>
            <w:tcW w:w="1526" w:type="dxa"/>
            <w:vAlign w:val="center"/>
          </w:tcPr>
          <w:p w14:paraId="48BA9B75" w14:textId="77777777" w:rsidR="00417D26" w:rsidRPr="007E18CD" w:rsidRDefault="00417D26" w:rsidP="00D3663D">
            <w:pPr>
              <w:spacing w:before="120" w:after="120"/>
              <w:ind w:left="0"/>
              <w:rPr>
                <w:szCs w:val="24"/>
              </w:rPr>
            </w:pPr>
            <w:r w:rsidRPr="007E18CD">
              <w:rPr>
                <w:szCs w:val="24"/>
              </w:rPr>
              <w:t>0.1</w:t>
            </w:r>
          </w:p>
        </w:tc>
        <w:tc>
          <w:tcPr>
            <w:tcW w:w="1984" w:type="dxa"/>
          </w:tcPr>
          <w:p w14:paraId="39EAA056" w14:textId="77777777" w:rsidR="00417D26" w:rsidRDefault="00417D26" w:rsidP="00417D26">
            <w:pPr>
              <w:ind w:left="68"/>
            </w:pPr>
            <w:r w:rsidRPr="00D95985">
              <w:rPr>
                <w:szCs w:val="24"/>
              </w:rPr>
              <w:t>Senior Information Governance Specialist</w:t>
            </w:r>
          </w:p>
        </w:tc>
        <w:tc>
          <w:tcPr>
            <w:tcW w:w="2693" w:type="dxa"/>
            <w:vAlign w:val="center"/>
          </w:tcPr>
          <w:p w14:paraId="7915CBFF" w14:textId="77777777" w:rsidR="00417D26" w:rsidRPr="007E18CD" w:rsidRDefault="00417D26" w:rsidP="00D3663D">
            <w:pPr>
              <w:spacing w:before="120" w:after="120"/>
              <w:ind w:left="0"/>
              <w:rPr>
                <w:szCs w:val="24"/>
              </w:rPr>
            </w:pPr>
            <w:r>
              <w:rPr>
                <w:szCs w:val="24"/>
              </w:rPr>
              <w:t>First Draft</w:t>
            </w:r>
          </w:p>
        </w:tc>
        <w:tc>
          <w:tcPr>
            <w:tcW w:w="2693" w:type="dxa"/>
            <w:vAlign w:val="center"/>
          </w:tcPr>
          <w:p w14:paraId="543FDDC9" w14:textId="0A3EB133" w:rsidR="00417D26" w:rsidRPr="007E18CD" w:rsidRDefault="00417D26" w:rsidP="00D3663D">
            <w:pPr>
              <w:spacing w:before="120" w:after="120"/>
              <w:ind w:left="0"/>
              <w:rPr>
                <w:szCs w:val="24"/>
              </w:rPr>
            </w:pPr>
          </w:p>
        </w:tc>
        <w:tc>
          <w:tcPr>
            <w:tcW w:w="1560" w:type="dxa"/>
            <w:vAlign w:val="center"/>
          </w:tcPr>
          <w:p w14:paraId="312C5471" w14:textId="77777777" w:rsidR="00417D26" w:rsidRPr="007E18CD" w:rsidRDefault="00417D26" w:rsidP="00D3663D">
            <w:pPr>
              <w:spacing w:before="120" w:after="120"/>
              <w:ind w:left="0"/>
              <w:rPr>
                <w:szCs w:val="24"/>
              </w:rPr>
            </w:pPr>
          </w:p>
        </w:tc>
      </w:tr>
      <w:tr w:rsidR="00417D26" w:rsidRPr="007E18CD" w14:paraId="6C13FD61" w14:textId="77777777" w:rsidTr="00186872">
        <w:tc>
          <w:tcPr>
            <w:tcW w:w="1526" w:type="dxa"/>
            <w:vAlign w:val="center"/>
          </w:tcPr>
          <w:p w14:paraId="618E437E" w14:textId="77777777" w:rsidR="00417D26" w:rsidRPr="007E18CD" w:rsidRDefault="00417D26" w:rsidP="00D3663D">
            <w:pPr>
              <w:spacing w:before="120" w:after="120"/>
              <w:ind w:left="0"/>
              <w:rPr>
                <w:szCs w:val="24"/>
              </w:rPr>
            </w:pPr>
            <w:r>
              <w:rPr>
                <w:szCs w:val="24"/>
              </w:rPr>
              <w:t>0.2</w:t>
            </w:r>
          </w:p>
        </w:tc>
        <w:tc>
          <w:tcPr>
            <w:tcW w:w="1984" w:type="dxa"/>
          </w:tcPr>
          <w:p w14:paraId="29C0172F" w14:textId="77777777" w:rsidR="00417D26" w:rsidRDefault="00417D26" w:rsidP="00417D26">
            <w:pPr>
              <w:ind w:left="68"/>
            </w:pPr>
            <w:r w:rsidRPr="00D95985">
              <w:rPr>
                <w:szCs w:val="24"/>
              </w:rPr>
              <w:t>Senior Information Governance Specialist</w:t>
            </w:r>
          </w:p>
        </w:tc>
        <w:tc>
          <w:tcPr>
            <w:tcW w:w="2693" w:type="dxa"/>
            <w:vAlign w:val="center"/>
          </w:tcPr>
          <w:p w14:paraId="49463AD1" w14:textId="2220ACB9" w:rsidR="00417D26" w:rsidRPr="007E18CD" w:rsidRDefault="00417D26" w:rsidP="004A2C13">
            <w:pPr>
              <w:spacing w:before="120" w:after="120"/>
              <w:ind w:left="0"/>
              <w:rPr>
                <w:szCs w:val="24"/>
              </w:rPr>
            </w:pPr>
            <w:r>
              <w:rPr>
                <w:szCs w:val="24"/>
              </w:rPr>
              <w:t xml:space="preserve">Second Draft </w:t>
            </w:r>
          </w:p>
        </w:tc>
        <w:tc>
          <w:tcPr>
            <w:tcW w:w="2693" w:type="dxa"/>
            <w:vAlign w:val="center"/>
          </w:tcPr>
          <w:p w14:paraId="264B4E7A" w14:textId="77777777" w:rsidR="00417D26" w:rsidRPr="007E18CD" w:rsidRDefault="00417D26" w:rsidP="00D3663D">
            <w:pPr>
              <w:spacing w:before="120" w:after="120"/>
              <w:ind w:left="0"/>
              <w:rPr>
                <w:szCs w:val="24"/>
              </w:rPr>
            </w:pPr>
          </w:p>
        </w:tc>
        <w:tc>
          <w:tcPr>
            <w:tcW w:w="1560" w:type="dxa"/>
            <w:vAlign w:val="center"/>
          </w:tcPr>
          <w:p w14:paraId="320E5D09" w14:textId="77777777" w:rsidR="00417D26" w:rsidRPr="007E18CD" w:rsidRDefault="00417D26" w:rsidP="00D3663D">
            <w:pPr>
              <w:spacing w:before="120" w:after="120"/>
              <w:ind w:left="0"/>
              <w:rPr>
                <w:szCs w:val="24"/>
              </w:rPr>
            </w:pPr>
          </w:p>
        </w:tc>
      </w:tr>
      <w:tr w:rsidR="00417D26" w:rsidRPr="007E18CD" w14:paraId="742B00F9" w14:textId="77777777" w:rsidTr="00186872">
        <w:tc>
          <w:tcPr>
            <w:tcW w:w="1526" w:type="dxa"/>
            <w:vAlign w:val="center"/>
          </w:tcPr>
          <w:p w14:paraId="55EC6DA5" w14:textId="77777777" w:rsidR="00417D26" w:rsidRDefault="00417D26" w:rsidP="00D3663D">
            <w:pPr>
              <w:spacing w:before="120" w:after="120"/>
              <w:ind w:left="0"/>
              <w:rPr>
                <w:szCs w:val="24"/>
              </w:rPr>
            </w:pPr>
            <w:r>
              <w:rPr>
                <w:szCs w:val="24"/>
              </w:rPr>
              <w:t>1.0</w:t>
            </w:r>
          </w:p>
        </w:tc>
        <w:tc>
          <w:tcPr>
            <w:tcW w:w="1984" w:type="dxa"/>
          </w:tcPr>
          <w:p w14:paraId="6A373312" w14:textId="77777777" w:rsidR="00417D26" w:rsidRDefault="00417D26" w:rsidP="00417D26">
            <w:pPr>
              <w:ind w:left="68"/>
            </w:pPr>
            <w:r w:rsidRPr="00D95985">
              <w:rPr>
                <w:szCs w:val="24"/>
              </w:rPr>
              <w:t>Senior Information Governance Specialist</w:t>
            </w:r>
          </w:p>
        </w:tc>
        <w:tc>
          <w:tcPr>
            <w:tcW w:w="2693" w:type="dxa"/>
            <w:vAlign w:val="center"/>
          </w:tcPr>
          <w:p w14:paraId="62AF3B77" w14:textId="2F4CCA67" w:rsidR="00417D26" w:rsidRDefault="00E763BD" w:rsidP="004A2C13">
            <w:pPr>
              <w:spacing w:before="120" w:after="120"/>
              <w:ind w:left="0"/>
              <w:rPr>
                <w:szCs w:val="24"/>
              </w:rPr>
            </w:pPr>
            <w:r>
              <w:rPr>
                <w:szCs w:val="24"/>
              </w:rPr>
              <w:t>Final Draft</w:t>
            </w:r>
          </w:p>
        </w:tc>
        <w:tc>
          <w:tcPr>
            <w:tcW w:w="2693" w:type="dxa"/>
            <w:vAlign w:val="center"/>
          </w:tcPr>
          <w:p w14:paraId="77891CB8" w14:textId="210C2C22" w:rsidR="00417D26" w:rsidRPr="007E18CD" w:rsidRDefault="00417D26" w:rsidP="00D3663D">
            <w:pPr>
              <w:spacing w:before="120" w:after="120"/>
              <w:ind w:left="0"/>
              <w:rPr>
                <w:szCs w:val="24"/>
              </w:rPr>
            </w:pPr>
            <w:r>
              <w:rPr>
                <w:szCs w:val="24"/>
              </w:rPr>
              <w:t xml:space="preserve">Approved by NHS </w:t>
            </w:r>
            <w:r w:rsidR="00E763BD">
              <w:rPr>
                <w:szCs w:val="24"/>
              </w:rPr>
              <w:t>Vale of York</w:t>
            </w:r>
            <w:r>
              <w:rPr>
                <w:szCs w:val="24"/>
              </w:rPr>
              <w:t xml:space="preserve"> CCG Audit Committee (</w:t>
            </w:r>
            <w:r w:rsidR="00E763BD">
              <w:rPr>
                <w:szCs w:val="24"/>
              </w:rPr>
              <w:t>April 2021</w:t>
            </w:r>
            <w:r>
              <w:rPr>
                <w:szCs w:val="24"/>
              </w:rPr>
              <w:t>)</w:t>
            </w:r>
          </w:p>
        </w:tc>
        <w:tc>
          <w:tcPr>
            <w:tcW w:w="1560" w:type="dxa"/>
            <w:vAlign w:val="center"/>
          </w:tcPr>
          <w:p w14:paraId="621FAC89" w14:textId="6B05E7AB" w:rsidR="00417D26" w:rsidRPr="007E18CD" w:rsidRDefault="00417D26" w:rsidP="00D3663D">
            <w:pPr>
              <w:spacing w:before="120" w:after="120"/>
              <w:ind w:left="0"/>
              <w:rPr>
                <w:szCs w:val="24"/>
              </w:rPr>
            </w:pPr>
          </w:p>
        </w:tc>
      </w:tr>
    </w:tbl>
    <w:p w14:paraId="30D13E4E" w14:textId="77777777" w:rsidR="001A77EE" w:rsidRPr="007E18CD" w:rsidRDefault="001A77EE" w:rsidP="006776A1">
      <w:pPr>
        <w:ind w:left="0"/>
      </w:pPr>
    </w:p>
    <w:p w14:paraId="664FF4E6" w14:textId="77777777" w:rsidR="00FF038A" w:rsidRPr="007E18CD" w:rsidRDefault="00FF038A" w:rsidP="00E0146D">
      <w:pPr>
        <w:pStyle w:val="Subtitle"/>
      </w:pPr>
      <w:r w:rsidRPr="007E18CD">
        <w:br w:type="page"/>
      </w:r>
      <w:r w:rsidRPr="007E18CD">
        <w:lastRenderedPageBreak/>
        <w:t>Contents</w:t>
      </w:r>
    </w:p>
    <w:p w14:paraId="24730F19" w14:textId="77777777" w:rsidR="00417D26" w:rsidRDefault="00982934">
      <w:pPr>
        <w:pStyle w:val="TOC1"/>
        <w:rPr>
          <w:rFonts w:asciiTheme="minorHAnsi" w:eastAsiaTheme="minorEastAsia" w:hAnsiTheme="minorHAnsi" w:cstheme="minorBidi"/>
          <w:iCs w:val="0"/>
          <w:noProof/>
          <w:sz w:val="22"/>
          <w:szCs w:val="22"/>
        </w:rPr>
      </w:pPr>
      <w:r>
        <w:rPr>
          <w:i/>
          <w:iCs w:val="0"/>
        </w:rPr>
        <w:fldChar w:fldCharType="begin"/>
      </w:r>
      <w:r>
        <w:rPr>
          <w:i/>
          <w:iCs w:val="0"/>
        </w:rPr>
        <w:instrText xml:space="preserve"> TOC \o "1-1" \h \z \t "Para 2 Heading,2" </w:instrText>
      </w:r>
      <w:r>
        <w:rPr>
          <w:i/>
          <w:iCs w:val="0"/>
        </w:rPr>
        <w:fldChar w:fldCharType="separate"/>
      </w:r>
      <w:hyperlink w:anchor="_Toc58498342" w:history="1">
        <w:r w:rsidR="00417D26" w:rsidRPr="007C79B7">
          <w:rPr>
            <w:rStyle w:val="Hyperlink"/>
            <w:noProof/>
          </w:rPr>
          <w:t>1.0</w:t>
        </w:r>
        <w:r w:rsidR="00417D26">
          <w:rPr>
            <w:rFonts w:asciiTheme="minorHAnsi" w:eastAsiaTheme="minorEastAsia" w:hAnsiTheme="minorHAnsi" w:cstheme="minorBidi"/>
            <w:iCs w:val="0"/>
            <w:noProof/>
            <w:sz w:val="22"/>
            <w:szCs w:val="22"/>
          </w:rPr>
          <w:tab/>
        </w:r>
        <w:r w:rsidR="00417D26" w:rsidRPr="007C79B7">
          <w:rPr>
            <w:rStyle w:val="Hyperlink"/>
            <w:noProof/>
          </w:rPr>
          <w:t>Introduction</w:t>
        </w:r>
        <w:r w:rsidR="00417D26">
          <w:rPr>
            <w:noProof/>
            <w:webHidden/>
          </w:rPr>
          <w:tab/>
        </w:r>
        <w:r w:rsidR="00417D26">
          <w:rPr>
            <w:noProof/>
            <w:webHidden/>
          </w:rPr>
          <w:fldChar w:fldCharType="begin"/>
        </w:r>
        <w:r w:rsidR="00417D26">
          <w:rPr>
            <w:noProof/>
            <w:webHidden/>
          </w:rPr>
          <w:instrText xml:space="preserve"> PAGEREF _Toc58498342 \h </w:instrText>
        </w:r>
        <w:r w:rsidR="00417D26">
          <w:rPr>
            <w:noProof/>
            <w:webHidden/>
          </w:rPr>
        </w:r>
        <w:r w:rsidR="00417D26">
          <w:rPr>
            <w:noProof/>
            <w:webHidden/>
          </w:rPr>
          <w:fldChar w:fldCharType="separate"/>
        </w:r>
        <w:r w:rsidR="00EF398B">
          <w:rPr>
            <w:noProof/>
            <w:webHidden/>
          </w:rPr>
          <w:t>4</w:t>
        </w:r>
        <w:r w:rsidR="00417D26">
          <w:rPr>
            <w:noProof/>
            <w:webHidden/>
          </w:rPr>
          <w:fldChar w:fldCharType="end"/>
        </w:r>
      </w:hyperlink>
    </w:p>
    <w:p w14:paraId="6D16E901" w14:textId="77777777" w:rsidR="00417D26" w:rsidRDefault="00927CD4">
      <w:pPr>
        <w:pStyle w:val="TOC1"/>
        <w:rPr>
          <w:rFonts w:asciiTheme="minorHAnsi" w:eastAsiaTheme="minorEastAsia" w:hAnsiTheme="minorHAnsi" w:cstheme="minorBidi"/>
          <w:iCs w:val="0"/>
          <w:noProof/>
          <w:sz w:val="22"/>
          <w:szCs w:val="22"/>
        </w:rPr>
      </w:pPr>
      <w:hyperlink w:anchor="_Toc58498343" w:history="1">
        <w:r w:rsidR="00417D26" w:rsidRPr="007C79B7">
          <w:rPr>
            <w:rStyle w:val="Hyperlink"/>
            <w:noProof/>
          </w:rPr>
          <w:t>2.0</w:t>
        </w:r>
        <w:r w:rsidR="00417D26">
          <w:rPr>
            <w:rFonts w:asciiTheme="minorHAnsi" w:eastAsiaTheme="minorEastAsia" w:hAnsiTheme="minorHAnsi" w:cstheme="minorBidi"/>
            <w:iCs w:val="0"/>
            <w:noProof/>
            <w:sz w:val="22"/>
            <w:szCs w:val="22"/>
          </w:rPr>
          <w:tab/>
        </w:r>
        <w:r w:rsidR="00417D26" w:rsidRPr="007C79B7">
          <w:rPr>
            <w:rStyle w:val="Hyperlink"/>
            <w:noProof/>
          </w:rPr>
          <w:t>Purpose</w:t>
        </w:r>
        <w:r w:rsidR="00417D26">
          <w:rPr>
            <w:noProof/>
            <w:webHidden/>
          </w:rPr>
          <w:tab/>
        </w:r>
        <w:r w:rsidR="00417D26">
          <w:rPr>
            <w:noProof/>
            <w:webHidden/>
          </w:rPr>
          <w:fldChar w:fldCharType="begin"/>
        </w:r>
        <w:r w:rsidR="00417D26">
          <w:rPr>
            <w:noProof/>
            <w:webHidden/>
          </w:rPr>
          <w:instrText xml:space="preserve"> PAGEREF _Toc58498343 \h </w:instrText>
        </w:r>
        <w:r w:rsidR="00417D26">
          <w:rPr>
            <w:noProof/>
            <w:webHidden/>
          </w:rPr>
        </w:r>
        <w:r w:rsidR="00417D26">
          <w:rPr>
            <w:noProof/>
            <w:webHidden/>
          </w:rPr>
          <w:fldChar w:fldCharType="separate"/>
        </w:r>
        <w:r w:rsidR="00EF398B">
          <w:rPr>
            <w:noProof/>
            <w:webHidden/>
          </w:rPr>
          <w:t>4</w:t>
        </w:r>
        <w:r w:rsidR="00417D26">
          <w:rPr>
            <w:noProof/>
            <w:webHidden/>
          </w:rPr>
          <w:fldChar w:fldCharType="end"/>
        </w:r>
      </w:hyperlink>
    </w:p>
    <w:p w14:paraId="22F5AAAD" w14:textId="77777777" w:rsidR="00417D26" w:rsidRDefault="00927CD4">
      <w:pPr>
        <w:pStyle w:val="TOC1"/>
        <w:rPr>
          <w:rFonts w:asciiTheme="minorHAnsi" w:eastAsiaTheme="minorEastAsia" w:hAnsiTheme="minorHAnsi" w:cstheme="minorBidi"/>
          <w:iCs w:val="0"/>
          <w:noProof/>
          <w:sz w:val="22"/>
          <w:szCs w:val="22"/>
        </w:rPr>
      </w:pPr>
      <w:hyperlink w:anchor="_Toc58498344" w:history="1">
        <w:r w:rsidR="00417D26" w:rsidRPr="007C79B7">
          <w:rPr>
            <w:rStyle w:val="Hyperlink"/>
            <w:noProof/>
          </w:rPr>
          <w:t>3.0</w:t>
        </w:r>
        <w:r w:rsidR="00417D26">
          <w:rPr>
            <w:rFonts w:asciiTheme="minorHAnsi" w:eastAsiaTheme="minorEastAsia" w:hAnsiTheme="minorHAnsi" w:cstheme="minorBidi"/>
            <w:iCs w:val="0"/>
            <w:noProof/>
            <w:sz w:val="22"/>
            <w:szCs w:val="22"/>
          </w:rPr>
          <w:tab/>
        </w:r>
        <w:r w:rsidR="00417D26" w:rsidRPr="007C79B7">
          <w:rPr>
            <w:rStyle w:val="Hyperlink"/>
            <w:noProof/>
          </w:rPr>
          <w:t>Defin</w:t>
        </w:r>
        <w:r w:rsidR="00417D26" w:rsidRPr="007C79B7">
          <w:rPr>
            <w:rStyle w:val="Hyperlink"/>
            <w:noProof/>
            <w:spacing w:val="1"/>
          </w:rPr>
          <w:t>i</w:t>
        </w:r>
        <w:r w:rsidR="00417D26" w:rsidRPr="007C79B7">
          <w:rPr>
            <w:rStyle w:val="Hyperlink"/>
            <w:noProof/>
          </w:rPr>
          <w:t>ti</w:t>
        </w:r>
        <w:r w:rsidR="00417D26" w:rsidRPr="007C79B7">
          <w:rPr>
            <w:rStyle w:val="Hyperlink"/>
            <w:noProof/>
            <w:spacing w:val="1"/>
          </w:rPr>
          <w:t>o</w:t>
        </w:r>
        <w:r w:rsidR="00417D26" w:rsidRPr="007C79B7">
          <w:rPr>
            <w:rStyle w:val="Hyperlink"/>
            <w:noProof/>
          </w:rPr>
          <w:t>ns</w:t>
        </w:r>
        <w:r w:rsidR="00417D26" w:rsidRPr="007C79B7">
          <w:rPr>
            <w:rStyle w:val="Hyperlink"/>
            <w:noProof/>
            <w:spacing w:val="-9"/>
          </w:rPr>
          <w:t xml:space="preserve"> </w:t>
        </w:r>
        <w:r w:rsidR="00417D26" w:rsidRPr="007C79B7">
          <w:rPr>
            <w:rStyle w:val="Hyperlink"/>
            <w:noProof/>
          </w:rPr>
          <w:t>/</w:t>
        </w:r>
        <w:r w:rsidR="00417D26" w:rsidRPr="007C79B7">
          <w:rPr>
            <w:rStyle w:val="Hyperlink"/>
            <w:noProof/>
            <w:spacing w:val="-5"/>
          </w:rPr>
          <w:t xml:space="preserve"> </w:t>
        </w:r>
        <w:r w:rsidR="00417D26" w:rsidRPr="007C79B7">
          <w:rPr>
            <w:rStyle w:val="Hyperlink"/>
            <w:noProof/>
          </w:rPr>
          <w:t>Exp</w:t>
        </w:r>
        <w:r w:rsidR="00417D26" w:rsidRPr="007C79B7">
          <w:rPr>
            <w:rStyle w:val="Hyperlink"/>
            <w:noProof/>
            <w:spacing w:val="1"/>
          </w:rPr>
          <w:t>l</w:t>
        </w:r>
        <w:r w:rsidR="00417D26" w:rsidRPr="007C79B7">
          <w:rPr>
            <w:rStyle w:val="Hyperlink"/>
            <w:noProof/>
          </w:rPr>
          <w:t>an</w:t>
        </w:r>
        <w:r w:rsidR="00417D26" w:rsidRPr="007C79B7">
          <w:rPr>
            <w:rStyle w:val="Hyperlink"/>
            <w:noProof/>
            <w:spacing w:val="1"/>
          </w:rPr>
          <w:t>a</w:t>
        </w:r>
        <w:r w:rsidR="00417D26" w:rsidRPr="007C79B7">
          <w:rPr>
            <w:rStyle w:val="Hyperlink"/>
            <w:noProof/>
          </w:rPr>
          <w:t>t</w:t>
        </w:r>
        <w:r w:rsidR="00417D26" w:rsidRPr="007C79B7">
          <w:rPr>
            <w:rStyle w:val="Hyperlink"/>
            <w:noProof/>
            <w:spacing w:val="1"/>
          </w:rPr>
          <w:t>i</w:t>
        </w:r>
        <w:r w:rsidR="00417D26" w:rsidRPr="007C79B7">
          <w:rPr>
            <w:rStyle w:val="Hyperlink"/>
            <w:noProof/>
          </w:rPr>
          <w:t>on</w:t>
        </w:r>
        <w:r w:rsidR="00417D26" w:rsidRPr="007C79B7">
          <w:rPr>
            <w:rStyle w:val="Hyperlink"/>
            <w:noProof/>
            <w:spacing w:val="-9"/>
          </w:rPr>
          <w:t xml:space="preserve"> </w:t>
        </w:r>
        <w:r w:rsidR="00417D26" w:rsidRPr="007C79B7">
          <w:rPr>
            <w:rStyle w:val="Hyperlink"/>
            <w:noProof/>
          </w:rPr>
          <w:t>of</w:t>
        </w:r>
        <w:r w:rsidR="00417D26" w:rsidRPr="007C79B7">
          <w:rPr>
            <w:rStyle w:val="Hyperlink"/>
            <w:noProof/>
            <w:spacing w:val="-8"/>
          </w:rPr>
          <w:t xml:space="preserve"> </w:t>
        </w:r>
        <w:r w:rsidR="00417D26" w:rsidRPr="007C79B7">
          <w:rPr>
            <w:rStyle w:val="Hyperlink"/>
            <w:noProof/>
          </w:rPr>
          <w:t>Terms</w:t>
        </w:r>
        <w:r w:rsidR="00417D26">
          <w:rPr>
            <w:noProof/>
            <w:webHidden/>
          </w:rPr>
          <w:tab/>
        </w:r>
        <w:r w:rsidR="00417D26">
          <w:rPr>
            <w:noProof/>
            <w:webHidden/>
          </w:rPr>
          <w:fldChar w:fldCharType="begin"/>
        </w:r>
        <w:r w:rsidR="00417D26">
          <w:rPr>
            <w:noProof/>
            <w:webHidden/>
          </w:rPr>
          <w:instrText xml:space="preserve"> PAGEREF _Toc58498344 \h </w:instrText>
        </w:r>
        <w:r w:rsidR="00417D26">
          <w:rPr>
            <w:noProof/>
            <w:webHidden/>
          </w:rPr>
        </w:r>
        <w:r w:rsidR="00417D26">
          <w:rPr>
            <w:noProof/>
            <w:webHidden/>
          </w:rPr>
          <w:fldChar w:fldCharType="separate"/>
        </w:r>
        <w:r w:rsidR="00EF398B">
          <w:rPr>
            <w:noProof/>
            <w:webHidden/>
          </w:rPr>
          <w:t>4</w:t>
        </w:r>
        <w:r w:rsidR="00417D26">
          <w:rPr>
            <w:noProof/>
            <w:webHidden/>
          </w:rPr>
          <w:fldChar w:fldCharType="end"/>
        </w:r>
      </w:hyperlink>
    </w:p>
    <w:p w14:paraId="45A1641F" w14:textId="77777777" w:rsidR="00417D26" w:rsidRDefault="00927CD4">
      <w:pPr>
        <w:pStyle w:val="TOC1"/>
        <w:rPr>
          <w:rFonts w:asciiTheme="minorHAnsi" w:eastAsiaTheme="minorEastAsia" w:hAnsiTheme="minorHAnsi" w:cstheme="minorBidi"/>
          <w:iCs w:val="0"/>
          <w:noProof/>
          <w:sz w:val="22"/>
          <w:szCs w:val="22"/>
        </w:rPr>
      </w:pPr>
      <w:hyperlink w:anchor="_Toc58498345" w:history="1">
        <w:r w:rsidR="00417D26" w:rsidRPr="007C79B7">
          <w:rPr>
            <w:rStyle w:val="Hyperlink"/>
            <w:noProof/>
          </w:rPr>
          <w:t>4.0</w:t>
        </w:r>
        <w:r w:rsidR="00417D26">
          <w:rPr>
            <w:rFonts w:asciiTheme="minorHAnsi" w:eastAsiaTheme="minorEastAsia" w:hAnsiTheme="minorHAnsi" w:cstheme="minorBidi"/>
            <w:iCs w:val="0"/>
            <w:noProof/>
            <w:sz w:val="22"/>
            <w:szCs w:val="22"/>
          </w:rPr>
          <w:tab/>
        </w:r>
        <w:r w:rsidR="00417D26" w:rsidRPr="007C79B7">
          <w:rPr>
            <w:rStyle w:val="Hyperlink"/>
            <w:noProof/>
          </w:rPr>
          <w:t>Scope</w:t>
        </w:r>
        <w:r w:rsidR="00417D26" w:rsidRPr="007C79B7">
          <w:rPr>
            <w:rStyle w:val="Hyperlink"/>
            <w:noProof/>
            <w:spacing w:val="-6"/>
          </w:rPr>
          <w:t xml:space="preserve"> </w:t>
        </w:r>
        <w:r w:rsidR="00417D26" w:rsidRPr="007C79B7">
          <w:rPr>
            <w:rStyle w:val="Hyperlink"/>
            <w:noProof/>
          </w:rPr>
          <w:t>of</w:t>
        </w:r>
        <w:r w:rsidR="00417D26" w:rsidRPr="007C79B7">
          <w:rPr>
            <w:rStyle w:val="Hyperlink"/>
            <w:noProof/>
            <w:spacing w:val="-5"/>
          </w:rPr>
          <w:t xml:space="preserve"> </w:t>
        </w:r>
        <w:r w:rsidR="00417D26" w:rsidRPr="007C79B7">
          <w:rPr>
            <w:rStyle w:val="Hyperlink"/>
            <w:noProof/>
          </w:rPr>
          <w:t>the</w:t>
        </w:r>
        <w:r w:rsidR="00417D26" w:rsidRPr="007C79B7">
          <w:rPr>
            <w:rStyle w:val="Hyperlink"/>
            <w:noProof/>
            <w:spacing w:val="-4"/>
          </w:rPr>
          <w:t xml:space="preserve"> </w:t>
        </w:r>
        <w:r w:rsidR="00417D26" w:rsidRPr="007C79B7">
          <w:rPr>
            <w:rStyle w:val="Hyperlink"/>
            <w:noProof/>
          </w:rPr>
          <w:t>Policy</w:t>
        </w:r>
        <w:r w:rsidR="00417D26">
          <w:rPr>
            <w:noProof/>
            <w:webHidden/>
          </w:rPr>
          <w:tab/>
        </w:r>
        <w:r w:rsidR="00417D26">
          <w:rPr>
            <w:noProof/>
            <w:webHidden/>
          </w:rPr>
          <w:fldChar w:fldCharType="begin"/>
        </w:r>
        <w:r w:rsidR="00417D26">
          <w:rPr>
            <w:noProof/>
            <w:webHidden/>
          </w:rPr>
          <w:instrText xml:space="preserve"> PAGEREF _Toc58498345 \h </w:instrText>
        </w:r>
        <w:r w:rsidR="00417D26">
          <w:rPr>
            <w:noProof/>
            <w:webHidden/>
          </w:rPr>
        </w:r>
        <w:r w:rsidR="00417D26">
          <w:rPr>
            <w:noProof/>
            <w:webHidden/>
          </w:rPr>
          <w:fldChar w:fldCharType="separate"/>
        </w:r>
        <w:r w:rsidR="00EF398B">
          <w:rPr>
            <w:noProof/>
            <w:webHidden/>
          </w:rPr>
          <w:t>5</w:t>
        </w:r>
        <w:r w:rsidR="00417D26">
          <w:rPr>
            <w:noProof/>
            <w:webHidden/>
          </w:rPr>
          <w:fldChar w:fldCharType="end"/>
        </w:r>
      </w:hyperlink>
    </w:p>
    <w:p w14:paraId="5B8AD8B8" w14:textId="77777777" w:rsidR="00417D26" w:rsidRDefault="00927CD4">
      <w:pPr>
        <w:pStyle w:val="TOC1"/>
        <w:rPr>
          <w:rFonts w:asciiTheme="minorHAnsi" w:eastAsiaTheme="minorEastAsia" w:hAnsiTheme="minorHAnsi" w:cstheme="minorBidi"/>
          <w:iCs w:val="0"/>
          <w:noProof/>
          <w:sz w:val="22"/>
          <w:szCs w:val="22"/>
        </w:rPr>
      </w:pPr>
      <w:hyperlink w:anchor="_Toc58498346" w:history="1">
        <w:r w:rsidR="00417D26" w:rsidRPr="007C79B7">
          <w:rPr>
            <w:rStyle w:val="Hyperlink"/>
            <w:noProof/>
          </w:rPr>
          <w:t>5.0</w:t>
        </w:r>
        <w:r w:rsidR="00417D26">
          <w:rPr>
            <w:rFonts w:asciiTheme="minorHAnsi" w:eastAsiaTheme="minorEastAsia" w:hAnsiTheme="minorHAnsi" w:cstheme="minorBidi"/>
            <w:iCs w:val="0"/>
            <w:noProof/>
            <w:sz w:val="22"/>
            <w:szCs w:val="22"/>
          </w:rPr>
          <w:tab/>
        </w:r>
        <w:r w:rsidR="00417D26" w:rsidRPr="007C79B7">
          <w:rPr>
            <w:rStyle w:val="Hyperlink"/>
            <w:noProof/>
            <w:spacing w:val="-1"/>
          </w:rPr>
          <w:t>Dutie</w:t>
        </w:r>
        <w:r w:rsidR="00417D26" w:rsidRPr="007C79B7">
          <w:rPr>
            <w:rStyle w:val="Hyperlink"/>
            <w:noProof/>
          </w:rPr>
          <w:t>s</w:t>
        </w:r>
        <w:r w:rsidR="00417D26" w:rsidRPr="007C79B7">
          <w:rPr>
            <w:rStyle w:val="Hyperlink"/>
            <w:noProof/>
            <w:spacing w:val="-11"/>
          </w:rPr>
          <w:t>,</w:t>
        </w:r>
        <w:r w:rsidR="00417D26" w:rsidRPr="007C79B7">
          <w:rPr>
            <w:rStyle w:val="Hyperlink"/>
            <w:noProof/>
            <w:spacing w:val="-9"/>
          </w:rPr>
          <w:t xml:space="preserve"> </w:t>
        </w:r>
        <w:r w:rsidR="00417D26" w:rsidRPr="007C79B7">
          <w:rPr>
            <w:rStyle w:val="Hyperlink"/>
            <w:noProof/>
          </w:rPr>
          <w:t>Accountabilities</w:t>
        </w:r>
        <w:r w:rsidR="00417D26" w:rsidRPr="007C79B7">
          <w:rPr>
            <w:rStyle w:val="Hyperlink"/>
            <w:noProof/>
            <w:spacing w:val="-9"/>
          </w:rPr>
          <w:t xml:space="preserve"> </w:t>
        </w:r>
        <w:r w:rsidR="00417D26" w:rsidRPr="007C79B7">
          <w:rPr>
            <w:rStyle w:val="Hyperlink"/>
            <w:noProof/>
          </w:rPr>
          <w:t>and</w:t>
        </w:r>
        <w:r w:rsidR="00417D26" w:rsidRPr="007C79B7">
          <w:rPr>
            <w:rStyle w:val="Hyperlink"/>
            <w:noProof/>
            <w:spacing w:val="-11"/>
          </w:rPr>
          <w:t xml:space="preserve"> </w:t>
        </w:r>
        <w:r w:rsidR="00417D26" w:rsidRPr="007C79B7">
          <w:rPr>
            <w:rStyle w:val="Hyperlink"/>
            <w:noProof/>
          </w:rPr>
          <w:t>Respons</w:t>
        </w:r>
        <w:r w:rsidR="00417D26" w:rsidRPr="007C79B7">
          <w:rPr>
            <w:rStyle w:val="Hyperlink"/>
            <w:noProof/>
            <w:spacing w:val="1"/>
          </w:rPr>
          <w:t>i</w:t>
        </w:r>
        <w:r w:rsidR="00417D26" w:rsidRPr="007C79B7">
          <w:rPr>
            <w:rStyle w:val="Hyperlink"/>
            <w:noProof/>
          </w:rPr>
          <w:t>bilities</w:t>
        </w:r>
        <w:r w:rsidR="00417D26">
          <w:rPr>
            <w:noProof/>
            <w:webHidden/>
          </w:rPr>
          <w:tab/>
        </w:r>
        <w:r w:rsidR="00417D26">
          <w:rPr>
            <w:noProof/>
            <w:webHidden/>
          </w:rPr>
          <w:fldChar w:fldCharType="begin"/>
        </w:r>
        <w:r w:rsidR="00417D26">
          <w:rPr>
            <w:noProof/>
            <w:webHidden/>
          </w:rPr>
          <w:instrText xml:space="preserve"> PAGEREF _Toc58498346 \h </w:instrText>
        </w:r>
        <w:r w:rsidR="00417D26">
          <w:rPr>
            <w:noProof/>
            <w:webHidden/>
          </w:rPr>
        </w:r>
        <w:r w:rsidR="00417D26">
          <w:rPr>
            <w:noProof/>
            <w:webHidden/>
          </w:rPr>
          <w:fldChar w:fldCharType="separate"/>
        </w:r>
        <w:r w:rsidR="00EF398B">
          <w:rPr>
            <w:noProof/>
            <w:webHidden/>
          </w:rPr>
          <w:t>5</w:t>
        </w:r>
        <w:r w:rsidR="00417D26">
          <w:rPr>
            <w:noProof/>
            <w:webHidden/>
          </w:rPr>
          <w:fldChar w:fldCharType="end"/>
        </w:r>
      </w:hyperlink>
    </w:p>
    <w:p w14:paraId="78A8F46A" w14:textId="77777777" w:rsidR="00417D26" w:rsidRDefault="00927CD4">
      <w:pPr>
        <w:pStyle w:val="TOC1"/>
        <w:rPr>
          <w:rFonts w:asciiTheme="minorHAnsi" w:eastAsiaTheme="minorEastAsia" w:hAnsiTheme="minorHAnsi" w:cstheme="minorBidi"/>
          <w:iCs w:val="0"/>
          <w:noProof/>
          <w:sz w:val="22"/>
          <w:szCs w:val="22"/>
        </w:rPr>
      </w:pPr>
      <w:hyperlink w:anchor="_Toc58498347" w:history="1">
        <w:r w:rsidR="00417D26" w:rsidRPr="007C79B7">
          <w:rPr>
            <w:rStyle w:val="Hyperlink"/>
            <w:noProof/>
          </w:rPr>
          <w:t>6.0</w:t>
        </w:r>
        <w:r w:rsidR="00417D26">
          <w:rPr>
            <w:rFonts w:asciiTheme="minorHAnsi" w:eastAsiaTheme="minorEastAsia" w:hAnsiTheme="minorHAnsi" w:cstheme="minorBidi"/>
            <w:iCs w:val="0"/>
            <w:noProof/>
            <w:sz w:val="22"/>
            <w:szCs w:val="22"/>
          </w:rPr>
          <w:tab/>
        </w:r>
        <w:r w:rsidR="00417D26" w:rsidRPr="007C79B7">
          <w:rPr>
            <w:rStyle w:val="Hyperlink"/>
            <w:noProof/>
          </w:rPr>
          <w:t>Policy Procedural Requirements</w:t>
        </w:r>
        <w:r w:rsidR="00417D26">
          <w:rPr>
            <w:noProof/>
            <w:webHidden/>
          </w:rPr>
          <w:tab/>
        </w:r>
        <w:r w:rsidR="00417D26">
          <w:rPr>
            <w:noProof/>
            <w:webHidden/>
          </w:rPr>
          <w:fldChar w:fldCharType="begin"/>
        </w:r>
        <w:r w:rsidR="00417D26">
          <w:rPr>
            <w:noProof/>
            <w:webHidden/>
          </w:rPr>
          <w:instrText xml:space="preserve"> PAGEREF _Toc58498347 \h </w:instrText>
        </w:r>
        <w:r w:rsidR="00417D26">
          <w:rPr>
            <w:noProof/>
            <w:webHidden/>
          </w:rPr>
        </w:r>
        <w:r w:rsidR="00417D26">
          <w:rPr>
            <w:noProof/>
            <w:webHidden/>
          </w:rPr>
          <w:fldChar w:fldCharType="separate"/>
        </w:r>
        <w:r w:rsidR="00EF398B">
          <w:rPr>
            <w:noProof/>
            <w:webHidden/>
          </w:rPr>
          <w:t>6</w:t>
        </w:r>
        <w:r w:rsidR="00417D26">
          <w:rPr>
            <w:noProof/>
            <w:webHidden/>
          </w:rPr>
          <w:fldChar w:fldCharType="end"/>
        </w:r>
      </w:hyperlink>
    </w:p>
    <w:p w14:paraId="04B58417" w14:textId="77777777" w:rsidR="00417D26" w:rsidRDefault="00927CD4">
      <w:pPr>
        <w:pStyle w:val="TOC1"/>
        <w:rPr>
          <w:rFonts w:asciiTheme="minorHAnsi" w:eastAsiaTheme="minorEastAsia" w:hAnsiTheme="minorHAnsi" w:cstheme="minorBidi"/>
          <w:iCs w:val="0"/>
          <w:noProof/>
          <w:sz w:val="22"/>
          <w:szCs w:val="22"/>
        </w:rPr>
      </w:pPr>
      <w:hyperlink w:anchor="_Toc58498348" w:history="1">
        <w:r w:rsidR="00417D26" w:rsidRPr="007C79B7">
          <w:rPr>
            <w:rStyle w:val="Hyperlink"/>
            <w:noProof/>
          </w:rPr>
          <w:t>7.0</w:t>
        </w:r>
        <w:r w:rsidR="00417D26">
          <w:rPr>
            <w:rFonts w:asciiTheme="minorHAnsi" w:eastAsiaTheme="minorEastAsia" w:hAnsiTheme="minorHAnsi" w:cstheme="minorBidi"/>
            <w:iCs w:val="0"/>
            <w:noProof/>
            <w:sz w:val="22"/>
            <w:szCs w:val="22"/>
          </w:rPr>
          <w:tab/>
        </w:r>
        <w:r w:rsidR="00417D26" w:rsidRPr="007C79B7">
          <w:rPr>
            <w:rStyle w:val="Hyperlink"/>
            <w:noProof/>
            <w:spacing w:val="-1"/>
          </w:rPr>
          <w:t>Publi</w:t>
        </w:r>
        <w:r w:rsidR="00417D26" w:rsidRPr="007C79B7">
          <w:rPr>
            <w:rStyle w:val="Hyperlink"/>
            <w:noProof/>
          </w:rPr>
          <w:t>c</w:t>
        </w:r>
        <w:r w:rsidR="00417D26" w:rsidRPr="007C79B7">
          <w:rPr>
            <w:rStyle w:val="Hyperlink"/>
            <w:noProof/>
            <w:spacing w:val="-7"/>
          </w:rPr>
          <w:t xml:space="preserve"> </w:t>
        </w:r>
        <w:r w:rsidR="00417D26" w:rsidRPr="007C79B7">
          <w:rPr>
            <w:rStyle w:val="Hyperlink"/>
            <w:noProof/>
          </w:rPr>
          <w:t>Sec</w:t>
        </w:r>
        <w:r w:rsidR="00417D26" w:rsidRPr="007C79B7">
          <w:rPr>
            <w:rStyle w:val="Hyperlink"/>
            <w:noProof/>
            <w:spacing w:val="-1"/>
          </w:rPr>
          <w:t>t</w:t>
        </w:r>
        <w:r w:rsidR="00417D26" w:rsidRPr="007C79B7">
          <w:rPr>
            <w:rStyle w:val="Hyperlink"/>
            <w:noProof/>
          </w:rPr>
          <w:t>or</w:t>
        </w:r>
        <w:r w:rsidR="00417D26" w:rsidRPr="007C79B7">
          <w:rPr>
            <w:rStyle w:val="Hyperlink"/>
            <w:noProof/>
            <w:spacing w:val="-8"/>
          </w:rPr>
          <w:t xml:space="preserve"> </w:t>
        </w:r>
        <w:r w:rsidR="00417D26" w:rsidRPr="007C79B7">
          <w:rPr>
            <w:rStyle w:val="Hyperlink"/>
            <w:noProof/>
            <w:spacing w:val="-1"/>
          </w:rPr>
          <w:t>E</w:t>
        </w:r>
        <w:r w:rsidR="00417D26" w:rsidRPr="007C79B7">
          <w:rPr>
            <w:rStyle w:val="Hyperlink"/>
            <w:noProof/>
            <w:spacing w:val="1"/>
          </w:rPr>
          <w:t>q</w:t>
        </w:r>
        <w:r w:rsidR="00417D26" w:rsidRPr="007C79B7">
          <w:rPr>
            <w:rStyle w:val="Hyperlink"/>
            <w:noProof/>
            <w:spacing w:val="-1"/>
          </w:rPr>
          <w:t>ual</w:t>
        </w:r>
        <w:r w:rsidR="00417D26" w:rsidRPr="007C79B7">
          <w:rPr>
            <w:rStyle w:val="Hyperlink"/>
            <w:noProof/>
            <w:spacing w:val="1"/>
          </w:rPr>
          <w:t>i</w:t>
        </w:r>
        <w:r w:rsidR="00417D26" w:rsidRPr="007C79B7">
          <w:rPr>
            <w:rStyle w:val="Hyperlink"/>
            <w:noProof/>
            <w:spacing w:val="-1"/>
          </w:rPr>
          <w:t>t</w:t>
        </w:r>
        <w:r w:rsidR="00417D26" w:rsidRPr="007C79B7">
          <w:rPr>
            <w:rStyle w:val="Hyperlink"/>
            <w:noProof/>
          </w:rPr>
          <w:t>y</w:t>
        </w:r>
        <w:r w:rsidR="00417D26" w:rsidRPr="007C79B7">
          <w:rPr>
            <w:rStyle w:val="Hyperlink"/>
            <w:noProof/>
            <w:spacing w:val="-8"/>
          </w:rPr>
          <w:t xml:space="preserve"> </w:t>
        </w:r>
        <w:r w:rsidR="00417D26" w:rsidRPr="007C79B7">
          <w:rPr>
            <w:rStyle w:val="Hyperlink"/>
            <w:noProof/>
          </w:rPr>
          <w:t>Duty</w:t>
        </w:r>
        <w:r w:rsidR="00417D26">
          <w:rPr>
            <w:noProof/>
            <w:webHidden/>
          </w:rPr>
          <w:tab/>
        </w:r>
        <w:r w:rsidR="00417D26">
          <w:rPr>
            <w:noProof/>
            <w:webHidden/>
          </w:rPr>
          <w:fldChar w:fldCharType="begin"/>
        </w:r>
        <w:r w:rsidR="00417D26">
          <w:rPr>
            <w:noProof/>
            <w:webHidden/>
          </w:rPr>
          <w:instrText xml:space="preserve"> PAGEREF _Toc58498348 \h </w:instrText>
        </w:r>
        <w:r w:rsidR="00417D26">
          <w:rPr>
            <w:noProof/>
            <w:webHidden/>
          </w:rPr>
        </w:r>
        <w:r w:rsidR="00417D26">
          <w:rPr>
            <w:noProof/>
            <w:webHidden/>
          </w:rPr>
          <w:fldChar w:fldCharType="separate"/>
        </w:r>
        <w:r w:rsidR="00EF398B">
          <w:rPr>
            <w:noProof/>
            <w:webHidden/>
          </w:rPr>
          <w:t>10</w:t>
        </w:r>
        <w:r w:rsidR="00417D26">
          <w:rPr>
            <w:noProof/>
            <w:webHidden/>
          </w:rPr>
          <w:fldChar w:fldCharType="end"/>
        </w:r>
      </w:hyperlink>
    </w:p>
    <w:p w14:paraId="42992A51" w14:textId="77777777" w:rsidR="00417D26" w:rsidRDefault="00927CD4">
      <w:pPr>
        <w:pStyle w:val="TOC1"/>
        <w:rPr>
          <w:rFonts w:asciiTheme="minorHAnsi" w:eastAsiaTheme="minorEastAsia" w:hAnsiTheme="minorHAnsi" w:cstheme="minorBidi"/>
          <w:iCs w:val="0"/>
          <w:noProof/>
          <w:sz w:val="22"/>
          <w:szCs w:val="22"/>
        </w:rPr>
      </w:pPr>
      <w:hyperlink w:anchor="_Toc58498349" w:history="1">
        <w:r w:rsidR="00417D26" w:rsidRPr="007C79B7">
          <w:rPr>
            <w:rStyle w:val="Hyperlink"/>
            <w:noProof/>
          </w:rPr>
          <w:t>8.0</w:t>
        </w:r>
        <w:r w:rsidR="00417D26">
          <w:rPr>
            <w:rFonts w:asciiTheme="minorHAnsi" w:eastAsiaTheme="minorEastAsia" w:hAnsiTheme="minorHAnsi" w:cstheme="minorBidi"/>
            <w:iCs w:val="0"/>
            <w:noProof/>
            <w:sz w:val="22"/>
            <w:szCs w:val="22"/>
          </w:rPr>
          <w:tab/>
        </w:r>
        <w:r w:rsidR="00417D26" w:rsidRPr="007C79B7">
          <w:rPr>
            <w:rStyle w:val="Hyperlink"/>
            <w:noProof/>
          </w:rPr>
          <w:t>Consultation</w:t>
        </w:r>
        <w:r w:rsidR="00417D26">
          <w:rPr>
            <w:noProof/>
            <w:webHidden/>
          </w:rPr>
          <w:tab/>
        </w:r>
        <w:r w:rsidR="00417D26">
          <w:rPr>
            <w:noProof/>
            <w:webHidden/>
          </w:rPr>
          <w:fldChar w:fldCharType="begin"/>
        </w:r>
        <w:r w:rsidR="00417D26">
          <w:rPr>
            <w:noProof/>
            <w:webHidden/>
          </w:rPr>
          <w:instrText xml:space="preserve"> PAGEREF _Toc58498349 \h </w:instrText>
        </w:r>
        <w:r w:rsidR="00417D26">
          <w:rPr>
            <w:noProof/>
            <w:webHidden/>
          </w:rPr>
        </w:r>
        <w:r w:rsidR="00417D26">
          <w:rPr>
            <w:noProof/>
            <w:webHidden/>
          </w:rPr>
          <w:fldChar w:fldCharType="separate"/>
        </w:r>
        <w:r w:rsidR="00EF398B">
          <w:rPr>
            <w:noProof/>
            <w:webHidden/>
          </w:rPr>
          <w:t>10</w:t>
        </w:r>
        <w:r w:rsidR="00417D26">
          <w:rPr>
            <w:noProof/>
            <w:webHidden/>
          </w:rPr>
          <w:fldChar w:fldCharType="end"/>
        </w:r>
      </w:hyperlink>
    </w:p>
    <w:p w14:paraId="08F9359A" w14:textId="77777777" w:rsidR="00417D26" w:rsidRDefault="00927CD4">
      <w:pPr>
        <w:pStyle w:val="TOC1"/>
        <w:rPr>
          <w:rFonts w:asciiTheme="minorHAnsi" w:eastAsiaTheme="minorEastAsia" w:hAnsiTheme="minorHAnsi" w:cstheme="minorBidi"/>
          <w:iCs w:val="0"/>
          <w:noProof/>
          <w:sz w:val="22"/>
          <w:szCs w:val="22"/>
        </w:rPr>
      </w:pPr>
      <w:hyperlink w:anchor="_Toc58498350" w:history="1">
        <w:r w:rsidR="00417D26" w:rsidRPr="007C79B7">
          <w:rPr>
            <w:rStyle w:val="Hyperlink"/>
            <w:noProof/>
          </w:rPr>
          <w:t>9.0</w:t>
        </w:r>
        <w:r w:rsidR="00417D26">
          <w:rPr>
            <w:rFonts w:asciiTheme="minorHAnsi" w:eastAsiaTheme="minorEastAsia" w:hAnsiTheme="minorHAnsi" w:cstheme="minorBidi"/>
            <w:iCs w:val="0"/>
            <w:noProof/>
            <w:sz w:val="22"/>
            <w:szCs w:val="22"/>
          </w:rPr>
          <w:tab/>
        </w:r>
        <w:r w:rsidR="00417D26" w:rsidRPr="007C79B7">
          <w:rPr>
            <w:rStyle w:val="Hyperlink"/>
            <w:noProof/>
          </w:rPr>
          <w:t>Training</w:t>
        </w:r>
        <w:r w:rsidR="00417D26">
          <w:rPr>
            <w:noProof/>
            <w:webHidden/>
          </w:rPr>
          <w:tab/>
        </w:r>
        <w:r w:rsidR="00417D26">
          <w:rPr>
            <w:noProof/>
            <w:webHidden/>
          </w:rPr>
          <w:fldChar w:fldCharType="begin"/>
        </w:r>
        <w:r w:rsidR="00417D26">
          <w:rPr>
            <w:noProof/>
            <w:webHidden/>
          </w:rPr>
          <w:instrText xml:space="preserve"> PAGEREF _Toc58498350 \h </w:instrText>
        </w:r>
        <w:r w:rsidR="00417D26">
          <w:rPr>
            <w:noProof/>
            <w:webHidden/>
          </w:rPr>
        </w:r>
        <w:r w:rsidR="00417D26">
          <w:rPr>
            <w:noProof/>
            <w:webHidden/>
          </w:rPr>
          <w:fldChar w:fldCharType="separate"/>
        </w:r>
        <w:r w:rsidR="00EF398B">
          <w:rPr>
            <w:noProof/>
            <w:webHidden/>
          </w:rPr>
          <w:t>10</w:t>
        </w:r>
        <w:r w:rsidR="00417D26">
          <w:rPr>
            <w:noProof/>
            <w:webHidden/>
          </w:rPr>
          <w:fldChar w:fldCharType="end"/>
        </w:r>
      </w:hyperlink>
    </w:p>
    <w:p w14:paraId="5B8A160F" w14:textId="77777777" w:rsidR="00417D26" w:rsidRDefault="00927CD4">
      <w:pPr>
        <w:pStyle w:val="TOC1"/>
        <w:rPr>
          <w:rFonts w:asciiTheme="minorHAnsi" w:eastAsiaTheme="minorEastAsia" w:hAnsiTheme="minorHAnsi" w:cstheme="minorBidi"/>
          <w:iCs w:val="0"/>
          <w:noProof/>
          <w:sz w:val="22"/>
          <w:szCs w:val="22"/>
        </w:rPr>
      </w:pPr>
      <w:hyperlink w:anchor="_Toc58498351" w:history="1">
        <w:r w:rsidR="00417D26" w:rsidRPr="007C79B7">
          <w:rPr>
            <w:rStyle w:val="Hyperlink"/>
            <w:noProof/>
          </w:rPr>
          <w:t>10.0</w:t>
        </w:r>
        <w:r w:rsidR="00417D26">
          <w:rPr>
            <w:rFonts w:asciiTheme="minorHAnsi" w:eastAsiaTheme="minorEastAsia" w:hAnsiTheme="minorHAnsi" w:cstheme="minorBidi"/>
            <w:iCs w:val="0"/>
            <w:noProof/>
            <w:sz w:val="22"/>
            <w:szCs w:val="22"/>
          </w:rPr>
          <w:tab/>
        </w:r>
        <w:r w:rsidR="00417D26" w:rsidRPr="007C79B7">
          <w:rPr>
            <w:rStyle w:val="Hyperlink"/>
            <w:noProof/>
          </w:rPr>
          <w:t>Mon</w:t>
        </w:r>
        <w:r w:rsidR="00417D26" w:rsidRPr="007C79B7">
          <w:rPr>
            <w:rStyle w:val="Hyperlink"/>
            <w:noProof/>
            <w:spacing w:val="1"/>
          </w:rPr>
          <w:t>i</w:t>
        </w:r>
        <w:r w:rsidR="00417D26" w:rsidRPr="007C79B7">
          <w:rPr>
            <w:rStyle w:val="Hyperlink"/>
            <w:noProof/>
          </w:rPr>
          <w:t>tor</w:t>
        </w:r>
        <w:r w:rsidR="00417D26" w:rsidRPr="007C79B7">
          <w:rPr>
            <w:rStyle w:val="Hyperlink"/>
            <w:noProof/>
            <w:spacing w:val="1"/>
          </w:rPr>
          <w:t>i</w:t>
        </w:r>
        <w:r w:rsidR="00417D26" w:rsidRPr="007C79B7">
          <w:rPr>
            <w:rStyle w:val="Hyperlink"/>
            <w:noProof/>
          </w:rPr>
          <w:t>ng</w:t>
        </w:r>
        <w:r w:rsidR="00417D26" w:rsidRPr="007C79B7">
          <w:rPr>
            <w:rStyle w:val="Hyperlink"/>
            <w:noProof/>
            <w:spacing w:val="-11"/>
          </w:rPr>
          <w:t xml:space="preserve"> </w:t>
        </w:r>
        <w:r w:rsidR="00417D26" w:rsidRPr="007C79B7">
          <w:rPr>
            <w:rStyle w:val="Hyperlink"/>
            <w:noProof/>
          </w:rPr>
          <w:t>Compl</w:t>
        </w:r>
        <w:r w:rsidR="00417D26" w:rsidRPr="007C79B7">
          <w:rPr>
            <w:rStyle w:val="Hyperlink"/>
            <w:noProof/>
            <w:spacing w:val="1"/>
          </w:rPr>
          <w:t>i</w:t>
        </w:r>
        <w:r w:rsidR="00417D26" w:rsidRPr="007C79B7">
          <w:rPr>
            <w:rStyle w:val="Hyperlink"/>
            <w:noProof/>
          </w:rPr>
          <w:t>ance</w:t>
        </w:r>
        <w:r w:rsidR="00417D26" w:rsidRPr="007C79B7">
          <w:rPr>
            <w:rStyle w:val="Hyperlink"/>
            <w:noProof/>
            <w:spacing w:val="-9"/>
          </w:rPr>
          <w:t xml:space="preserve"> </w:t>
        </w:r>
        <w:r w:rsidR="00417D26" w:rsidRPr="007C79B7">
          <w:rPr>
            <w:rStyle w:val="Hyperlink"/>
            <w:noProof/>
          </w:rPr>
          <w:t>w</w:t>
        </w:r>
        <w:r w:rsidR="00417D26" w:rsidRPr="007C79B7">
          <w:rPr>
            <w:rStyle w:val="Hyperlink"/>
            <w:noProof/>
            <w:spacing w:val="1"/>
          </w:rPr>
          <w:t>i</w:t>
        </w:r>
        <w:r w:rsidR="00417D26" w:rsidRPr="007C79B7">
          <w:rPr>
            <w:rStyle w:val="Hyperlink"/>
            <w:noProof/>
          </w:rPr>
          <w:t>th</w:t>
        </w:r>
        <w:r w:rsidR="00417D26" w:rsidRPr="007C79B7">
          <w:rPr>
            <w:rStyle w:val="Hyperlink"/>
            <w:noProof/>
            <w:spacing w:val="-10"/>
          </w:rPr>
          <w:t xml:space="preserve"> </w:t>
        </w:r>
        <w:r w:rsidR="00417D26" w:rsidRPr="007C79B7">
          <w:rPr>
            <w:rStyle w:val="Hyperlink"/>
            <w:noProof/>
          </w:rPr>
          <w:t>t</w:t>
        </w:r>
        <w:r w:rsidR="00417D26" w:rsidRPr="007C79B7">
          <w:rPr>
            <w:rStyle w:val="Hyperlink"/>
            <w:noProof/>
            <w:spacing w:val="1"/>
          </w:rPr>
          <w:t>h</w:t>
        </w:r>
        <w:r w:rsidR="00417D26" w:rsidRPr="007C79B7">
          <w:rPr>
            <w:rStyle w:val="Hyperlink"/>
            <w:noProof/>
          </w:rPr>
          <w:t>e</w:t>
        </w:r>
        <w:r w:rsidR="00417D26" w:rsidRPr="007C79B7">
          <w:rPr>
            <w:rStyle w:val="Hyperlink"/>
            <w:noProof/>
            <w:spacing w:val="-9"/>
          </w:rPr>
          <w:t xml:space="preserve"> </w:t>
        </w:r>
        <w:r w:rsidR="00417D26" w:rsidRPr="007C79B7">
          <w:rPr>
            <w:rStyle w:val="Hyperlink"/>
            <w:noProof/>
          </w:rPr>
          <w:t>Document</w:t>
        </w:r>
        <w:r w:rsidR="00417D26">
          <w:rPr>
            <w:noProof/>
            <w:webHidden/>
          </w:rPr>
          <w:tab/>
        </w:r>
        <w:r w:rsidR="00417D26">
          <w:rPr>
            <w:noProof/>
            <w:webHidden/>
          </w:rPr>
          <w:fldChar w:fldCharType="begin"/>
        </w:r>
        <w:r w:rsidR="00417D26">
          <w:rPr>
            <w:noProof/>
            <w:webHidden/>
          </w:rPr>
          <w:instrText xml:space="preserve"> PAGEREF _Toc58498351 \h </w:instrText>
        </w:r>
        <w:r w:rsidR="00417D26">
          <w:rPr>
            <w:noProof/>
            <w:webHidden/>
          </w:rPr>
        </w:r>
        <w:r w:rsidR="00417D26">
          <w:rPr>
            <w:noProof/>
            <w:webHidden/>
          </w:rPr>
          <w:fldChar w:fldCharType="separate"/>
        </w:r>
        <w:r w:rsidR="00EF398B">
          <w:rPr>
            <w:noProof/>
            <w:webHidden/>
          </w:rPr>
          <w:t>10</w:t>
        </w:r>
        <w:r w:rsidR="00417D26">
          <w:rPr>
            <w:noProof/>
            <w:webHidden/>
          </w:rPr>
          <w:fldChar w:fldCharType="end"/>
        </w:r>
      </w:hyperlink>
    </w:p>
    <w:p w14:paraId="5B7D115E" w14:textId="77777777" w:rsidR="00417D26" w:rsidRDefault="00927CD4">
      <w:pPr>
        <w:pStyle w:val="TOC1"/>
        <w:rPr>
          <w:rFonts w:asciiTheme="minorHAnsi" w:eastAsiaTheme="minorEastAsia" w:hAnsiTheme="minorHAnsi" w:cstheme="minorBidi"/>
          <w:iCs w:val="0"/>
          <w:noProof/>
          <w:sz w:val="22"/>
          <w:szCs w:val="22"/>
        </w:rPr>
      </w:pPr>
      <w:hyperlink w:anchor="_Toc58498352" w:history="1">
        <w:r w:rsidR="00417D26" w:rsidRPr="007C79B7">
          <w:rPr>
            <w:rStyle w:val="Hyperlink"/>
            <w:noProof/>
          </w:rPr>
          <w:t>11.0</w:t>
        </w:r>
        <w:r w:rsidR="00417D26">
          <w:rPr>
            <w:rFonts w:asciiTheme="minorHAnsi" w:eastAsiaTheme="minorEastAsia" w:hAnsiTheme="minorHAnsi" w:cstheme="minorBidi"/>
            <w:iCs w:val="0"/>
            <w:noProof/>
            <w:sz w:val="22"/>
            <w:szCs w:val="22"/>
          </w:rPr>
          <w:tab/>
        </w:r>
        <w:r w:rsidR="00417D26" w:rsidRPr="007C79B7">
          <w:rPr>
            <w:rStyle w:val="Hyperlink"/>
            <w:noProof/>
          </w:rPr>
          <w:t>Arran</w:t>
        </w:r>
        <w:r w:rsidR="00417D26" w:rsidRPr="007C79B7">
          <w:rPr>
            <w:rStyle w:val="Hyperlink"/>
            <w:noProof/>
            <w:spacing w:val="1"/>
          </w:rPr>
          <w:t>g</w:t>
        </w:r>
        <w:r w:rsidR="00417D26" w:rsidRPr="007C79B7">
          <w:rPr>
            <w:rStyle w:val="Hyperlink"/>
            <w:noProof/>
          </w:rPr>
          <w:t>ements</w:t>
        </w:r>
        <w:r w:rsidR="00417D26" w:rsidRPr="007C79B7">
          <w:rPr>
            <w:rStyle w:val="Hyperlink"/>
            <w:noProof/>
            <w:spacing w:val="-13"/>
          </w:rPr>
          <w:t xml:space="preserve"> </w:t>
        </w:r>
        <w:r w:rsidR="00417D26" w:rsidRPr="007C79B7">
          <w:rPr>
            <w:rStyle w:val="Hyperlink"/>
            <w:noProof/>
            <w:spacing w:val="-1"/>
          </w:rPr>
          <w:t>fo</w:t>
        </w:r>
        <w:r w:rsidR="00417D26" w:rsidRPr="007C79B7">
          <w:rPr>
            <w:rStyle w:val="Hyperlink"/>
            <w:noProof/>
          </w:rPr>
          <w:t>r</w:t>
        </w:r>
        <w:r w:rsidR="00417D26" w:rsidRPr="007C79B7">
          <w:rPr>
            <w:rStyle w:val="Hyperlink"/>
            <w:noProof/>
            <w:spacing w:val="-11"/>
          </w:rPr>
          <w:t xml:space="preserve"> </w:t>
        </w:r>
        <w:r w:rsidR="00417D26" w:rsidRPr="007C79B7">
          <w:rPr>
            <w:rStyle w:val="Hyperlink"/>
            <w:noProof/>
          </w:rPr>
          <w:t>Review</w:t>
        </w:r>
        <w:r w:rsidR="00417D26">
          <w:rPr>
            <w:noProof/>
            <w:webHidden/>
          </w:rPr>
          <w:tab/>
        </w:r>
        <w:r w:rsidR="00417D26">
          <w:rPr>
            <w:noProof/>
            <w:webHidden/>
          </w:rPr>
          <w:fldChar w:fldCharType="begin"/>
        </w:r>
        <w:r w:rsidR="00417D26">
          <w:rPr>
            <w:noProof/>
            <w:webHidden/>
          </w:rPr>
          <w:instrText xml:space="preserve"> PAGEREF _Toc58498352 \h </w:instrText>
        </w:r>
        <w:r w:rsidR="00417D26">
          <w:rPr>
            <w:noProof/>
            <w:webHidden/>
          </w:rPr>
        </w:r>
        <w:r w:rsidR="00417D26">
          <w:rPr>
            <w:noProof/>
            <w:webHidden/>
          </w:rPr>
          <w:fldChar w:fldCharType="separate"/>
        </w:r>
        <w:r w:rsidR="00EF398B">
          <w:rPr>
            <w:noProof/>
            <w:webHidden/>
          </w:rPr>
          <w:t>11</w:t>
        </w:r>
        <w:r w:rsidR="00417D26">
          <w:rPr>
            <w:noProof/>
            <w:webHidden/>
          </w:rPr>
          <w:fldChar w:fldCharType="end"/>
        </w:r>
      </w:hyperlink>
    </w:p>
    <w:p w14:paraId="68102DC5" w14:textId="77777777" w:rsidR="00417D26" w:rsidRDefault="00927CD4">
      <w:pPr>
        <w:pStyle w:val="TOC1"/>
        <w:rPr>
          <w:rFonts w:asciiTheme="minorHAnsi" w:eastAsiaTheme="minorEastAsia" w:hAnsiTheme="minorHAnsi" w:cstheme="minorBidi"/>
          <w:iCs w:val="0"/>
          <w:noProof/>
          <w:sz w:val="22"/>
          <w:szCs w:val="22"/>
        </w:rPr>
      </w:pPr>
      <w:hyperlink w:anchor="_Toc58498353" w:history="1">
        <w:r w:rsidR="00417D26" w:rsidRPr="007C79B7">
          <w:rPr>
            <w:rStyle w:val="Hyperlink"/>
            <w:noProof/>
          </w:rPr>
          <w:t>12.0</w:t>
        </w:r>
        <w:r w:rsidR="00417D26">
          <w:rPr>
            <w:rFonts w:asciiTheme="minorHAnsi" w:eastAsiaTheme="minorEastAsia" w:hAnsiTheme="minorHAnsi" w:cstheme="minorBidi"/>
            <w:iCs w:val="0"/>
            <w:noProof/>
            <w:sz w:val="22"/>
            <w:szCs w:val="22"/>
          </w:rPr>
          <w:tab/>
        </w:r>
        <w:r w:rsidR="00417D26" w:rsidRPr="007C79B7">
          <w:rPr>
            <w:rStyle w:val="Hyperlink"/>
            <w:noProof/>
          </w:rPr>
          <w:t>Dissem</w:t>
        </w:r>
        <w:r w:rsidR="00417D26" w:rsidRPr="007C79B7">
          <w:rPr>
            <w:rStyle w:val="Hyperlink"/>
            <w:noProof/>
            <w:spacing w:val="1"/>
          </w:rPr>
          <w:t>i</w:t>
        </w:r>
        <w:r w:rsidR="00417D26" w:rsidRPr="007C79B7">
          <w:rPr>
            <w:rStyle w:val="Hyperlink"/>
            <w:noProof/>
          </w:rPr>
          <w:t>nation</w:t>
        </w:r>
        <w:r w:rsidR="00417D26">
          <w:rPr>
            <w:noProof/>
            <w:webHidden/>
          </w:rPr>
          <w:tab/>
        </w:r>
        <w:r w:rsidR="00417D26">
          <w:rPr>
            <w:noProof/>
            <w:webHidden/>
          </w:rPr>
          <w:fldChar w:fldCharType="begin"/>
        </w:r>
        <w:r w:rsidR="00417D26">
          <w:rPr>
            <w:noProof/>
            <w:webHidden/>
          </w:rPr>
          <w:instrText xml:space="preserve"> PAGEREF _Toc58498353 \h </w:instrText>
        </w:r>
        <w:r w:rsidR="00417D26">
          <w:rPr>
            <w:noProof/>
            <w:webHidden/>
          </w:rPr>
        </w:r>
        <w:r w:rsidR="00417D26">
          <w:rPr>
            <w:noProof/>
            <w:webHidden/>
          </w:rPr>
          <w:fldChar w:fldCharType="separate"/>
        </w:r>
        <w:r w:rsidR="00EF398B">
          <w:rPr>
            <w:noProof/>
            <w:webHidden/>
          </w:rPr>
          <w:t>11</w:t>
        </w:r>
        <w:r w:rsidR="00417D26">
          <w:rPr>
            <w:noProof/>
            <w:webHidden/>
          </w:rPr>
          <w:fldChar w:fldCharType="end"/>
        </w:r>
      </w:hyperlink>
    </w:p>
    <w:p w14:paraId="4FB8CA9D" w14:textId="77777777" w:rsidR="00417D26" w:rsidRDefault="00927CD4">
      <w:pPr>
        <w:pStyle w:val="TOC1"/>
        <w:rPr>
          <w:rFonts w:asciiTheme="minorHAnsi" w:eastAsiaTheme="minorEastAsia" w:hAnsiTheme="minorHAnsi" w:cstheme="minorBidi"/>
          <w:iCs w:val="0"/>
          <w:noProof/>
          <w:sz w:val="22"/>
          <w:szCs w:val="22"/>
        </w:rPr>
      </w:pPr>
      <w:hyperlink w:anchor="_Toc58498354" w:history="1">
        <w:r w:rsidR="00417D26" w:rsidRPr="007C79B7">
          <w:rPr>
            <w:rStyle w:val="Hyperlink"/>
            <w:noProof/>
          </w:rPr>
          <w:t>13.0</w:t>
        </w:r>
        <w:r w:rsidR="00417D26">
          <w:rPr>
            <w:rFonts w:asciiTheme="minorHAnsi" w:eastAsiaTheme="minorEastAsia" w:hAnsiTheme="minorHAnsi" w:cstheme="minorBidi"/>
            <w:iCs w:val="0"/>
            <w:noProof/>
            <w:sz w:val="22"/>
            <w:szCs w:val="22"/>
          </w:rPr>
          <w:tab/>
        </w:r>
        <w:r w:rsidR="00417D26" w:rsidRPr="007C79B7">
          <w:rPr>
            <w:rStyle w:val="Hyperlink"/>
            <w:noProof/>
          </w:rPr>
          <w:t>Associated</w:t>
        </w:r>
        <w:r w:rsidR="00417D26" w:rsidRPr="007C79B7">
          <w:rPr>
            <w:rStyle w:val="Hyperlink"/>
            <w:noProof/>
            <w:spacing w:val="-25"/>
          </w:rPr>
          <w:t xml:space="preserve"> </w:t>
        </w:r>
        <w:r w:rsidR="00417D26" w:rsidRPr="007C79B7">
          <w:rPr>
            <w:rStyle w:val="Hyperlink"/>
            <w:noProof/>
          </w:rPr>
          <w:t>D</w:t>
        </w:r>
        <w:r w:rsidR="00417D26" w:rsidRPr="007C79B7">
          <w:rPr>
            <w:rStyle w:val="Hyperlink"/>
            <w:noProof/>
            <w:spacing w:val="-1"/>
          </w:rPr>
          <w:t>o</w:t>
        </w:r>
        <w:r w:rsidR="00417D26" w:rsidRPr="007C79B7">
          <w:rPr>
            <w:rStyle w:val="Hyperlink"/>
            <w:noProof/>
          </w:rPr>
          <w:t>cumen</w:t>
        </w:r>
        <w:r w:rsidR="00417D26" w:rsidRPr="007C79B7">
          <w:rPr>
            <w:rStyle w:val="Hyperlink"/>
            <w:noProof/>
            <w:spacing w:val="-1"/>
          </w:rPr>
          <w:t>t</w:t>
        </w:r>
        <w:r w:rsidR="00417D26" w:rsidRPr="007C79B7">
          <w:rPr>
            <w:rStyle w:val="Hyperlink"/>
            <w:noProof/>
          </w:rPr>
          <w:t>a</w:t>
        </w:r>
        <w:r w:rsidR="00417D26" w:rsidRPr="007C79B7">
          <w:rPr>
            <w:rStyle w:val="Hyperlink"/>
            <w:noProof/>
            <w:spacing w:val="-1"/>
          </w:rPr>
          <w:t>t</w:t>
        </w:r>
        <w:r w:rsidR="00417D26" w:rsidRPr="007C79B7">
          <w:rPr>
            <w:rStyle w:val="Hyperlink"/>
            <w:noProof/>
          </w:rPr>
          <w:t>ion</w:t>
        </w:r>
        <w:r w:rsidR="00417D26">
          <w:rPr>
            <w:noProof/>
            <w:webHidden/>
          </w:rPr>
          <w:tab/>
        </w:r>
        <w:r w:rsidR="00417D26">
          <w:rPr>
            <w:noProof/>
            <w:webHidden/>
          </w:rPr>
          <w:fldChar w:fldCharType="begin"/>
        </w:r>
        <w:r w:rsidR="00417D26">
          <w:rPr>
            <w:noProof/>
            <w:webHidden/>
          </w:rPr>
          <w:instrText xml:space="preserve"> PAGEREF _Toc58498354 \h </w:instrText>
        </w:r>
        <w:r w:rsidR="00417D26">
          <w:rPr>
            <w:noProof/>
            <w:webHidden/>
          </w:rPr>
        </w:r>
        <w:r w:rsidR="00417D26">
          <w:rPr>
            <w:noProof/>
            <w:webHidden/>
          </w:rPr>
          <w:fldChar w:fldCharType="separate"/>
        </w:r>
        <w:r w:rsidR="00EF398B">
          <w:rPr>
            <w:noProof/>
            <w:webHidden/>
          </w:rPr>
          <w:t>11</w:t>
        </w:r>
        <w:r w:rsidR="00417D26">
          <w:rPr>
            <w:noProof/>
            <w:webHidden/>
          </w:rPr>
          <w:fldChar w:fldCharType="end"/>
        </w:r>
      </w:hyperlink>
    </w:p>
    <w:p w14:paraId="7F41C006" w14:textId="77777777" w:rsidR="00417D26" w:rsidRDefault="00927CD4">
      <w:pPr>
        <w:pStyle w:val="TOC1"/>
        <w:rPr>
          <w:rFonts w:asciiTheme="minorHAnsi" w:eastAsiaTheme="minorEastAsia" w:hAnsiTheme="minorHAnsi" w:cstheme="minorBidi"/>
          <w:iCs w:val="0"/>
          <w:noProof/>
          <w:sz w:val="22"/>
          <w:szCs w:val="22"/>
        </w:rPr>
      </w:pPr>
      <w:hyperlink w:anchor="_Toc58498355" w:history="1">
        <w:r w:rsidR="00417D26" w:rsidRPr="007C79B7">
          <w:rPr>
            <w:rStyle w:val="Hyperlink"/>
            <w:noProof/>
          </w:rPr>
          <w:t>14.0</w:t>
        </w:r>
        <w:r w:rsidR="00417D26">
          <w:rPr>
            <w:rFonts w:asciiTheme="minorHAnsi" w:eastAsiaTheme="minorEastAsia" w:hAnsiTheme="minorHAnsi" w:cstheme="minorBidi"/>
            <w:iCs w:val="0"/>
            <w:noProof/>
            <w:sz w:val="22"/>
            <w:szCs w:val="22"/>
          </w:rPr>
          <w:tab/>
        </w:r>
        <w:r w:rsidR="00417D26" w:rsidRPr="007C79B7">
          <w:rPr>
            <w:rStyle w:val="Hyperlink"/>
            <w:noProof/>
          </w:rPr>
          <w:t>References</w:t>
        </w:r>
        <w:r w:rsidR="00417D26">
          <w:rPr>
            <w:noProof/>
            <w:webHidden/>
          </w:rPr>
          <w:tab/>
        </w:r>
        <w:r w:rsidR="00417D26">
          <w:rPr>
            <w:noProof/>
            <w:webHidden/>
          </w:rPr>
          <w:fldChar w:fldCharType="begin"/>
        </w:r>
        <w:r w:rsidR="00417D26">
          <w:rPr>
            <w:noProof/>
            <w:webHidden/>
          </w:rPr>
          <w:instrText xml:space="preserve"> PAGEREF _Toc58498355 \h </w:instrText>
        </w:r>
        <w:r w:rsidR="00417D26">
          <w:rPr>
            <w:noProof/>
            <w:webHidden/>
          </w:rPr>
        </w:r>
        <w:r w:rsidR="00417D26">
          <w:rPr>
            <w:noProof/>
            <w:webHidden/>
          </w:rPr>
          <w:fldChar w:fldCharType="separate"/>
        </w:r>
        <w:r w:rsidR="00EF398B">
          <w:rPr>
            <w:noProof/>
            <w:webHidden/>
          </w:rPr>
          <w:t>11</w:t>
        </w:r>
        <w:r w:rsidR="00417D26">
          <w:rPr>
            <w:noProof/>
            <w:webHidden/>
          </w:rPr>
          <w:fldChar w:fldCharType="end"/>
        </w:r>
      </w:hyperlink>
    </w:p>
    <w:p w14:paraId="1870A1F7" w14:textId="77777777" w:rsidR="00417D26" w:rsidRDefault="00927CD4">
      <w:pPr>
        <w:pStyle w:val="TOC1"/>
        <w:rPr>
          <w:rFonts w:asciiTheme="minorHAnsi" w:eastAsiaTheme="minorEastAsia" w:hAnsiTheme="minorHAnsi" w:cstheme="minorBidi"/>
          <w:iCs w:val="0"/>
          <w:noProof/>
          <w:sz w:val="22"/>
          <w:szCs w:val="22"/>
        </w:rPr>
      </w:pPr>
      <w:hyperlink w:anchor="_Toc58498356" w:history="1">
        <w:r w:rsidR="00417D26" w:rsidRPr="007C79B7">
          <w:rPr>
            <w:rStyle w:val="Hyperlink"/>
            <w:noProof/>
          </w:rPr>
          <w:t>15.0</w:t>
        </w:r>
        <w:r w:rsidR="00417D26">
          <w:rPr>
            <w:rFonts w:asciiTheme="minorHAnsi" w:eastAsiaTheme="minorEastAsia" w:hAnsiTheme="minorHAnsi" w:cstheme="minorBidi"/>
            <w:iCs w:val="0"/>
            <w:noProof/>
            <w:sz w:val="22"/>
            <w:szCs w:val="22"/>
          </w:rPr>
          <w:tab/>
        </w:r>
        <w:r w:rsidR="00417D26" w:rsidRPr="007C79B7">
          <w:rPr>
            <w:rStyle w:val="Hyperlink"/>
            <w:noProof/>
          </w:rPr>
          <w:t>App</w:t>
        </w:r>
        <w:r w:rsidR="00417D26" w:rsidRPr="007C79B7">
          <w:rPr>
            <w:rStyle w:val="Hyperlink"/>
            <w:noProof/>
            <w:spacing w:val="1"/>
          </w:rPr>
          <w:t>e</w:t>
        </w:r>
        <w:r w:rsidR="00417D26" w:rsidRPr="007C79B7">
          <w:rPr>
            <w:rStyle w:val="Hyperlink"/>
            <w:noProof/>
          </w:rPr>
          <w:t>ndices</w:t>
        </w:r>
        <w:r w:rsidR="00417D26">
          <w:rPr>
            <w:noProof/>
            <w:webHidden/>
          </w:rPr>
          <w:tab/>
        </w:r>
        <w:r w:rsidR="00417D26">
          <w:rPr>
            <w:noProof/>
            <w:webHidden/>
          </w:rPr>
          <w:fldChar w:fldCharType="begin"/>
        </w:r>
        <w:r w:rsidR="00417D26">
          <w:rPr>
            <w:noProof/>
            <w:webHidden/>
          </w:rPr>
          <w:instrText xml:space="preserve"> PAGEREF _Toc58498356 \h </w:instrText>
        </w:r>
        <w:r w:rsidR="00417D26">
          <w:rPr>
            <w:noProof/>
            <w:webHidden/>
          </w:rPr>
        </w:r>
        <w:r w:rsidR="00417D26">
          <w:rPr>
            <w:noProof/>
            <w:webHidden/>
          </w:rPr>
          <w:fldChar w:fldCharType="separate"/>
        </w:r>
        <w:r w:rsidR="00EF398B">
          <w:rPr>
            <w:noProof/>
            <w:webHidden/>
          </w:rPr>
          <w:t>11</w:t>
        </w:r>
        <w:r w:rsidR="00417D26">
          <w:rPr>
            <w:noProof/>
            <w:webHidden/>
          </w:rPr>
          <w:fldChar w:fldCharType="end"/>
        </w:r>
      </w:hyperlink>
    </w:p>
    <w:p w14:paraId="340236E8" w14:textId="77777777" w:rsidR="00417D26" w:rsidRDefault="00927CD4">
      <w:pPr>
        <w:pStyle w:val="TOC1"/>
        <w:rPr>
          <w:rFonts w:asciiTheme="minorHAnsi" w:eastAsiaTheme="minorEastAsia" w:hAnsiTheme="minorHAnsi" w:cstheme="minorBidi"/>
          <w:iCs w:val="0"/>
          <w:noProof/>
          <w:sz w:val="22"/>
          <w:szCs w:val="22"/>
        </w:rPr>
      </w:pPr>
      <w:hyperlink w:anchor="_Toc58498357" w:history="1">
        <w:r w:rsidR="00417D26" w:rsidRPr="007C79B7">
          <w:rPr>
            <w:rStyle w:val="Hyperlink"/>
            <w:rFonts w:eastAsiaTheme="minorHAnsi"/>
            <w:noProof/>
          </w:rPr>
          <w:t>16.0</w:t>
        </w:r>
        <w:r w:rsidR="00417D26">
          <w:rPr>
            <w:rFonts w:asciiTheme="minorHAnsi" w:eastAsiaTheme="minorEastAsia" w:hAnsiTheme="minorHAnsi" w:cstheme="minorBidi"/>
            <w:iCs w:val="0"/>
            <w:noProof/>
            <w:sz w:val="22"/>
            <w:szCs w:val="22"/>
          </w:rPr>
          <w:tab/>
        </w:r>
        <w:r w:rsidR="00417D26" w:rsidRPr="007C79B7">
          <w:rPr>
            <w:rStyle w:val="Hyperlink"/>
            <w:noProof/>
          </w:rPr>
          <w:t xml:space="preserve">Appendix A - </w:t>
        </w:r>
        <w:r w:rsidR="00417D26" w:rsidRPr="007C79B7">
          <w:rPr>
            <w:rStyle w:val="Hyperlink"/>
            <w:rFonts w:eastAsiaTheme="minorHAnsi"/>
            <w:noProof/>
          </w:rPr>
          <w:t>Confidentiality Dos and Don’ts</w:t>
        </w:r>
        <w:r w:rsidR="00417D26">
          <w:rPr>
            <w:noProof/>
            <w:webHidden/>
          </w:rPr>
          <w:tab/>
        </w:r>
        <w:r w:rsidR="00417D26">
          <w:rPr>
            <w:noProof/>
            <w:webHidden/>
          </w:rPr>
          <w:fldChar w:fldCharType="begin"/>
        </w:r>
        <w:r w:rsidR="00417D26">
          <w:rPr>
            <w:noProof/>
            <w:webHidden/>
          </w:rPr>
          <w:instrText xml:space="preserve"> PAGEREF _Toc58498357 \h </w:instrText>
        </w:r>
        <w:r w:rsidR="00417D26">
          <w:rPr>
            <w:noProof/>
            <w:webHidden/>
          </w:rPr>
        </w:r>
        <w:r w:rsidR="00417D26">
          <w:rPr>
            <w:noProof/>
            <w:webHidden/>
          </w:rPr>
          <w:fldChar w:fldCharType="separate"/>
        </w:r>
        <w:r w:rsidR="00EF398B">
          <w:rPr>
            <w:noProof/>
            <w:webHidden/>
          </w:rPr>
          <w:t>13</w:t>
        </w:r>
        <w:r w:rsidR="00417D26">
          <w:rPr>
            <w:noProof/>
            <w:webHidden/>
          </w:rPr>
          <w:fldChar w:fldCharType="end"/>
        </w:r>
      </w:hyperlink>
    </w:p>
    <w:p w14:paraId="54012245" w14:textId="77777777" w:rsidR="00982934" w:rsidRDefault="00982934" w:rsidP="00E01AF3">
      <w:pPr>
        <w:rPr>
          <w:rFonts w:ascii="Calibri" w:hAnsi="Calibri" w:cs="Arial"/>
          <w:color w:val="0070C0"/>
          <w:sz w:val="28"/>
          <w:szCs w:val="24"/>
          <w:lang w:eastAsia="en-GB"/>
        </w:rPr>
      </w:pPr>
      <w:r>
        <w:rPr>
          <w:rFonts w:cs="Arial"/>
          <w:i/>
          <w:iCs/>
          <w:szCs w:val="24"/>
          <w:lang w:eastAsia="en-GB"/>
        </w:rPr>
        <w:fldChar w:fldCharType="end"/>
      </w:r>
      <w:r>
        <w:rPr>
          <w:rFonts w:ascii="Calibri" w:hAnsi="Calibri" w:cs="Arial"/>
          <w:color w:val="0070C0"/>
          <w:sz w:val="28"/>
          <w:szCs w:val="24"/>
          <w:lang w:eastAsia="en-GB"/>
        </w:rPr>
        <w:br w:type="page"/>
      </w:r>
    </w:p>
    <w:p w14:paraId="4A8C8F8D" w14:textId="77777777" w:rsidR="00170518" w:rsidRPr="00F63E73" w:rsidRDefault="00D87F7B" w:rsidP="00033AC0">
      <w:pPr>
        <w:pStyle w:val="Heading1"/>
      </w:pPr>
      <w:bookmarkStart w:id="0" w:name="_Toc54273962"/>
      <w:bookmarkStart w:id="1" w:name="_Toc58498342"/>
      <w:r w:rsidRPr="00033AC0">
        <w:lastRenderedPageBreak/>
        <w:t>Introduction</w:t>
      </w:r>
      <w:bookmarkEnd w:id="0"/>
      <w:bookmarkEnd w:id="1"/>
    </w:p>
    <w:p w14:paraId="0D6BEFF0" w14:textId="77777777" w:rsidR="00EC1748" w:rsidRDefault="00EC1748" w:rsidP="00EC1748">
      <w:pPr>
        <w:autoSpaceDE w:val="0"/>
        <w:autoSpaceDN w:val="0"/>
        <w:adjustRightInd w:val="0"/>
        <w:ind w:left="720"/>
        <w:jc w:val="both"/>
        <w:rPr>
          <w:rFonts w:cs="Arial"/>
        </w:rPr>
      </w:pPr>
      <w:r w:rsidRPr="00EC1748">
        <w:rPr>
          <w:rFonts w:cs="Arial"/>
          <w:bCs/>
        </w:rPr>
        <w:t xml:space="preserve">The purpose of this Code of Conduct is to lay down the key principles that staff should follow when handling personal confidential/sensitive or corporately sensitive information. </w:t>
      </w:r>
      <w:r w:rsidRPr="00EC1748">
        <w:rPr>
          <w:rFonts w:cs="Arial"/>
        </w:rPr>
        <w:t>All staff should to be aware of their responsibilities for safeguarding confidentiality and preserving information security</w:t>
      </w:r>
      <w:r>
        <w:rPr>
          <w:rFonts w:cs="Arial"/>
        </w:rPr>
        <w:t xml:space="preserve"> and confidentiality</w:t>
      </w:r>
      <w:r w:rsidRPr="00EC1748">
        <w:rPr>
          <w:rFonts w:cs="Arial"/>
        </w:rPr>
        <w:t>.</w:t>
      </w:r>
    </w:p>
    <w:p w14:paraId="00E08A41" w14:textId="77777777" w:rsidR="00815B70" w:rsidRPr="007E18CD" w:rsidRDefault="00815B70" w:rsidP="00033AC0">
      <w:pPr>
        <w:pStyle w:val="Heading1"/>
      </w:pPr>
      <w:bookmarkStart w:id="2" w:name="_Toc54273963"/>
      <w:bookmarkStart w:id="3" w:name="_Toc58498343"/>
      <w:r w:rsidRPr="007E18CD">
        <w:t>Purpose</w:t>
      </w:r>
      <w:bookmarkEnd w:id="2"/>
      <w:bookmarkEnd w:id="3"/>
    </w:p>
    <w:p w14:paraId="41249EB4" w14:textId="77777777" w:rsidR="00EC1748" w:rsidRPr="00EC1748" w:rsidRDefault="00EC1748" w:rsidP="00EC1748">
      <w:pPr>
        <w:autoSpaceDE w:val="0"/>
        <w:autoSpaceDN w:val="0"/>
        <w:adjustRightInd w:val="0"/>
        <w:spacing w:after="0" w:line="240" w:lineRule="auto"/>
        <w:ind w:left="720"/>
        <w:jc w:val="both"/>
        <w:rPr>
          <w:rFonts w:cs="Arial"/>
        </w:rPr>
      </w:pPr>
      <w:r w:rsidRPr="00EC1748">
        <w:rPr>
          <w:rFonts w:cs="Arial"/>
        </w:rPr>
        <w:t>All employees working in the NHS are bound by a legal duty of</w:t>
      </w:r>
      <w:r>
        <w:rPr>
          <w:rFonts w:cs="Arial"/>
        </w:rPr>
        <w:t xml:space="preserve"> confidence to protect personal and special category</w:t>
      </w:r>
      <w:r w:rsidRPr="00EC1748">
        <w:rPr>
          <w:rFonts w:cs="Arial"/>
        </w:rPr>
        <w:t xml:space="preserve"> information they may </w:t>
      </w:r>
      <w:proofErr w:type="gramStart"/>
      <w:r w:rsidRPr="00EC1748">
        <w:rPr>
          <w:rFonts w:cs="Arial"/>
        </w:rPr>
        <w:t>come into contact with</w:t>
      </w:r>
      <w:proofErr w:type="gramEnd"/>
      <w:r w:rsidRPr="00EC1748">
        <w:rPr>
          <w:rFonts w:cs="Arial"/>
        </w:rPr>
        <w:t xml:space="preserve"> during the course of their work. This is not just a requirement under their contractual responsibilities but also a requirement within the co</w:t>
      </w:r>
      <w:r>
        <w:rPr>
          <w:rFonts w:cs="Arial"/>
        </w:rPr>
        <w:t>mmon law duty of confidence, and</w:t>
      </w:r>
      <w:r w:rsidRPr="00EC1748">
        <w:rPr>
          <w:rFonts w:cs="Arial"/>
        </w:rPr>
        <w:t xml:space="preserve"> current Data Protection Legislation and continues to exist after employment has terminated. </w:t>
      </w:r>
    </w:p>
    <w:p w14:paraId="34E936FC" w14:textId="77777777" w:rsidR="00EC1748" w:rsidRPr="00EC1748" w:rsidRDefault="00EC1748" w:rsidP="00EC1748">
      <w:pPr>
        <w:autoSpaceDE w:val="0"/>
        <w:autoSpaceDN w:val="0"/>
        <w:adjustRightInd w:val="0"/>
        <w:spacing w:after="0" w:line="240" w:lineRule="auto"/>
        <w:ind w:left="288"/>
        <w:jc w:val="both"/>
        <w:rPr>
          <w:rFonts w:cs="Arial"/>
        </w:rPr>
      </w:pPr>
    </w:p>
    <w:p w14:paraId="71EF2D72" w14:textId="77777777" w:rsidR="00EC1748" w:rsidRPr="00EC1748" w:rsidRDefault="00EC1748" w:rsidP="00EC1748">
      <w:pPr>
        <w:autoSpaceDE w:val="0"/>
        <w:autoSpaceDN w:val="0"/>
        <w:adjustRightInd w:val="0"/>
        <w:spacing w:after="0" w:line="240" w:lineRule="auto"/>
        <w:ind w:left="720"/>
        <w:jc w:val="both"/>
        <w:rPr>
          <w:color w:val="FF0000"/>
        </w:rPr>
      </w:pPr>
      <w:r w:rsidRPr="00EC1748">
        <w:rPr>
          <w:rFonts w:cs="Arial"/>
        </w:rPr>
        <w:t xml:space="preserve">It is important that staff protect personal </w:t>
      </w:r>
      <w:r>
        <w:rPr>
          <w:rFonts w:cs="Arial"/>
        </w:rPr>
        <w:t>and special category,</w:t>
      </w:r>
      <w:r w:rsidRPr="00EC1748">
        <w:rPr>
          <w:rFonts w:cs="Arial"/>
        </w:rPr>
        <w:t xml:space="preserve"> and corporately sensitive information </w:t>
      </w:r>
      <w:proofErr w:type="gramStart"/>
      <w:r w:rsidRPr="00EC1748">
        <w:rPr>
          <w:rFonts w:cs="Arial"/>
        </w:rPr>
        <w:t>at all times</w:t>
      </w:r>
      <w:proofErr w:type="gramEnd"/>
      <w:r w:rsidRPr="00EC1748">
        <w:rPr>
          <w:rFonts w:cs="Arial"/>
        </w:rPr>
        <w:t xml:space="preserve">, and must therefore ensure that they are aware of and comply with all information governance policies and complete their statutory and mandatory information governance training. </w:t>
      </w:r>
    </w:p>
    <w:p w14:paraId="7FAF6EB0" w14:textId="77777777" w:rsidR="00002A38" w:rsidRPr="007E18CD" w:rsidRDefault="00002A38" w:rsidP="00033AC0">
      <w:pPr>
        <w:pStyle w:val="Heading1"/>
      </w:pPr>
      <w:bookmarkStart w:id="4" w:name="_Toc54273964"/>
      <w:bookmarkStart w:id="5" w:name="_Toc58498344"/>
      <w:r w:rsidRPr="007E18CD">
        <w:t>Defin</w:t>
      </w:r>
      <w:r w:rsidRPr="007E18CD">
        <w:rPr>
          <w:spacing w:val="1"/>
        </w:rPr>
        <w:t>i</w:t>
      </w:r>
      <w:r w:rsidRPr="007E18CD">
        <w:t>ti</w:t>
      </w:r>
      <w:r w:rsidRPr="007E18CD">
        <w:rPr>
          <w:spacing w:val="1"/>
        </w:rPr>
        <w:t>o</w:t>
      </w:r>
      <w:r w:rsidRPr="007E18CD">
        <w:t>ns</w:t>
      </w:r>
      <w:r w:rsidRPr="007E18CD">
        <w:rPr>
          <w:spacing w:val="-9"/>
        </w:rPr>
        <w:t xml:space="preserve"> </w:t>
      </w:r>
      <w:r w:rsidRPr="007E18CD">
        <w:t>/</w:t>
      </w:r>
      <w:r w:rsidRPr="007E18CD">
        <w:rPr>
          <w:spacing w:val="-5"/>
        </w:rPr>
        <w:t xml:space="preserve"> </w:t>
      </w:r>
      <w:r w:rsidRPr="007E18CD">
        <w:t>Exp</w:t>
      </w:r>
      <w:r w:rsidRPr="007E18CD">
        <w:rPr>
          <w:spacing w:val="1"/>
        </w:rPr>
        <w:t>l</w:t>
      </w:r>
      <w:r w:rsidRPr="007E18CD">
        <w:t>an</w:t>
      </w:r>
      <w:r w:rsidRPr="007E18CD">
        <w:rPr>
          <w:spacing w:val="1"/>
        </w:rPr>
        <w:t>a</w:t>
      </w:r>
      <w:r w:rsidRPr="007E18CD">
        <w:t>t</w:t>
      </w:r>
      <w:r w:rsidRPr="007E18CD">
        <w:rPr>
          <w:spacing w:val="1"/>
        </w:rPr>
        <w:t>i</w:t>
      </w:r>
      <w:r w:rsidRPr="007E18CD">
        <w:t>on</w:t>
      </w:r>
      <w:r w:rsidRPr="007E18CD">
        <w:rPr>
          <w:spacing w:val="-9"/>
        </w:rPr>
        <w:t xml:space="preserve"> </w:t>
      </w:r>
      <w:r w:rsidRPr="007E18CD">
        <w:t>of</w:t>
      </w:r>
      <w:r w:rsidRPr="007E18CD">
        <w:rPr>
          <w:spacing w:val="-8"/>
        </w:rPr>
        <w:t xml:space="preserve"> </w:t>
      </w:r>
      <w:r w:rsidRPr="007E18CD">
        <w:t>Terms</w:t>
      </w:r>
      <w:bookmarkEnd w:id="4"/>
      <w:bookmarkEnd w:id="5"/>
    </w:p>
    <w:p w14:paraId="083654F2" w14:textId="77777777" w:rsidR="00EC1748" w:rsidRPr="00F349FD" w:rsidRDefault="00EC1748" w:rsidP="00982934">
      <w:pPr>
        <w:pStyle w:val="Heading2"/>
      </w:pPr>
      <w:r w:rsidRPr="00F349FD">
        <w:t xml:space="preserve">Personal information </w:t>
      </w:r>
    </w:p>
    <w:p w14:paraId="276576E5" w14:textId="77777777" w:rsidR="00EC1748" w:rsidRDefault="00EC1748" w:rsidP="00EC1748">
      <w:pPr>
        <w:pStyle w:val="Default0"/>
        <w:ind w:firstLine="720"/>
        <w:rPr>
          <w:rFonts w:asciiTheme="minorHAnsi" w:hAnsiTheme="minorHAnsi" w:cstheme="minorHAnsi"/>
          <w:b/>
          <w:bCs/>
          <w:color w:val="auto"/>
          <w:sz w:val="22"/>
          <w:szCs w:val="22"/>
        </w:rPr>
      </w:pPr>
    </w:p>
    <w:p w14:paraId="7A8F04C2" w14:textId="77777777" w:rsidR="00EC1748" w:rsidRPr="00F349FD" w:rsidRDefault="00EC1748" w:rsidP="00982934">
      <w:pPr>
        <w:rPr>
          <w:rFonts w:asciiTheme="minorHAnsi" w:hAnsiTheme="minorHAnsi" w:cstheme="minorHAnsi"/>
          <w:sz w:val="22"/>
        </w:rPr>
      </w:pPr>
      <w:r w:rsidRPr="00F349FD">
        <w:t xml:space="preserve">Person-identifiable information is anything that contains the means to identify a person, </w:t>
      </w:r>
      <w:proofErr w:type="gramStart"/>
      <w:r w:rsidRPr="00F349FD">
        <w:t>e.g.</w:t>
      </w:r>
      <w:proofErr w:type="gramEnd"/>
      <w:r w:rsidRPr="00F349FD">
        <w:t xml:space="preserve"> name, address, postcode, date of birth, NHS number, National Insurance number, pseudonymised data, biometric and genetic data, and online identifiers and location data,</w:t>
      </w:r>
      <w:r>
        <w:t xml:space="preserve"> </w:t>
      </w:r>
      <w:r w:rsidRPr="00F349FD">
        <w:t>etc. Any data or combination of data and other information, which can indirectly identify the person, will also fall into this definition.</w:t>
      </w:r>
      <w:r>
        <w:t xml:space="preserve"> </w:t>
      </w:r>
      <w:r w:rsidRPr="00F349FD">
        <w:t>Whenever possible, anonymised data, that is data where all personal details have been removed and which therefore cannot identify the individual, should be used. Note however that even anonymised information can only be used for justified purposes</w:t>
      </w:r>
      <w:r w:rsidRPr="00B721E1">
        <w:rPr>
          <w:rFonts w:asciiTheme="minorHAnsi" w:hAnsiTheme="minorHAnsi" w:cstheme="minorHAnsi"/>
          <w:sz w:val="22"/>
        </w:rPr>
        <w:t xml:space="preserve">. </w:t>
      </w:r>
    </w:p>
    <w:p w14:paraId="5BB670F3" w14:textId="77777777" w:rsidR="00EC1748" w:rsidRPr="00F349FD" w:rsidRDefault="00EC1748" w:rsidP="00982934">
      <w:pPr>
        <w:rPr>
          <w:rFonts w:asciiTheme="minorHAnsi" w:hAnsiTheme="minorHAnsi" w:cstheme="minorHAnsi"/>
          <w:sz w:val="22"/>
        </w:rPr>
      </w:pPr>
      <w:r w:rsidRPr="00F349FD">
        <w:t xml:space="preserve">Information that identifies individuals personally must be regarded as </w:t>
      </w:r>
      <w:proofErr w:type="gramStart"/>
      <w:r w:rsidRPr="00F349FD">
        <w:t>confidential, and</w:t>
      </w:r>
      <w:proofErr w:type="gramEnd"/>
      <w:r w:rsidRPr="00F349FD">
        <w:t xml:space="preserve"> should not be used unless absolutely necessary. The appropriate legal basis under Article 6 of the General Data Protection Regulation must be identified and recorded in the CCG Information Asset Register to be able to legally process personal identifiable information.</w:t>
      </w:r>
    </w:p>
    <w:p w14:paraId="0117F877" w14:textId="77777777" w:rsidR="00EC1748" w:rsidRPr="00F349FD" w:rsidRDefault="00EC1748" w:rsidP="00982934">
      <w:pPr>
        <w:pStyle w:val="Heading2"/>
      </w:pPr>
      <w:r w:rsidRPr="00F349FD">
        <w:t>Special Category Data</w:t>
      </w:r>
    </w:p>
    <w:p w14:paraId="0FA3AD13" w14:textId="77777777" w:rsidR="00EC1748" w:rsidRPr="00F349FD" w:rsidRDefault="00EC1748" w:rsidP="00982934">
      <w:r w:rsidRPr="00F349FD">
        <w:t xml:space="preserve">Special category data includes, Health Data, Trade Union membership, Political opinions, Religious or philosophical beliefs, Racial or Ethnic Origin, Sex life and sexual orientation, Biometric Data and Genetic Data. </w:t>
      </w:r>
    </w:p>
    <w:p w14:paraId="15335C17" w14:textId="77777777" w:rsidR="00EC1748" w:rsidRPr="00F349FD" w:rsidRDefault="00EC1748" w:rsidP="00EC1748">
      <w:pPr>
        <w:pStyle w:val="ListParagraph"/>
        <w:tabs>
          <w:tab w:val="left" w:pos="2617"/>
        </w:tabs>
        <w:spacing w:after="0" w:line="240" w:lineRule="auto"/>
        <w:ind w:left="1080"/>
        <w:jc w:val="both"/>
        <w:rPr>
          <w:rFonts w:cs="Arial"/>
          <w:szCs w:val="24"/>
        </w:rPr>
      </w:pPr>
    </w:p>
    <w:p w14:paraId="6E60A772" w14:textId="77777777" w:rsidR="00EC1748" w:rsidRPr="00F349FD" w:rsidRDefault="00EC1748" w:rsidP="00982934">
      <w:r w:rsidRPr="00F349FD">
        <w:t xml:space="preserve">In addition to having identified a legal basis under Article 6 of the General Data Protection Regulation to legally process personal identifiable information, to legally process special category information the CCG must identify the condition under </w:t>
      </w:r>
      <w:r w:rsidRPr="00F349FD">
        <w:lastRenderedPageBreak/>
        <w:t>Schedule 1 of the current Data Protection Act and the legal basis under Article 9(2) and record these on the information asset</w:t>
      </w:r>
      <w:r>
        <w:t xml:space="preserve"> register.</w:t>
      </w:r>
    </w:p>
    <w:p w14:paraId="0D04B4BE" w14:textId="77777777" w:rsidR="0068357A" w:rsidRPr="007E18CD" w:rsidRDefault="0068357A" w:rsidP="00982934">
      <w:pPr>
        <w:pStyle w:val="Heading1"/>
      </w:pPr>
      <w:bookmarkStart w:id="6" w:name="_Toc54273965"/>
      <w:bookmarkStart w:id="7" w:name="_Toc58498345"/>
      <w:r w:rsidRPr="00982934">
        <w:t>Scope</w:t>
      </w:r>
      <w:r w:rsidRPr="007E18CD">
        <w:rPr>
          <w:spacing w:val="-6"/>
        </w:rPr>
        <w:t xml:space="preserve"> </w:t>
      </w:r>
      <w:r w:rsidRPr="007E18CD">
        <w:t>of</w:t>
      </w:r>
      <w:r w:rsidRPr="007E18CD">
        <w:rPr>
          <w:spacing w:val="-5"/>
        </w:rPr>
        <w:t xml:space="preserve"> </w:t>
      </w:r>
      <w:r w:rsidRPr="007E18CD">
        <w:t>the</w:t>
      </w:r>
      <w:r w:rsidRPr="007E18CD">
        <w:rPr>
          <w:spacing w:val="-4"/>
        </w:rPr>
        <w:t xml:space="preserve"> </w:t>
      </w:r>
      <w:r w:rsidRPr="007E18CD">
        <w:t>Policy</w:t>
      </w:r>
      <w:bookmarkEnd w:id="6"/>
      <w:bookmarkEnd w:id="7"/>
    </w:p>
    <w:p w14:paraId="0896A3AF" w14:textId="651E4406" w:rsidR="00BA2A76" w:rsidRPr="00BA2A76" w:rsidRDefault="00BA2A76" w:rsidP="00BA2A76">
      <w:pPr>
        <w:jc w:val="both"/>
      </w:pPr>
      <w:r w:rsidRPr="00BA2A76">
        <w:rPr>
          <w:spacing w:val="-1"/>
        </w:rPr>
        <w:t>Th</w:t>
      </w:r>
      <w:r w:rsidRPr="00BA2A76">
        <w:t>e</w:t>
      </w:r>
      <w:r w:rsidRPr="00BA2A76">
        <w:rPr>
          <w:spacing w:val="-4"/>
        </w:rPr>
        <w:t xml:space="preserve"> </w:t>
      </w:r>
      <w:r w:rsidRPr="00BA2A76">
        <w:t>policy</w:t>
      </w:r>
      <w:r w:rsidRPr="00BA2A76">
        <w:rPr>
          <w:spacing w:val="-5"/>
        </w:rPr>
        <w:t xml:space="preserve"> </w:t>
      </w:r>
      <w:r w:rsidRPr="00BA2A76">
        <w:rPr>
          <w:spacing w:val="1"/>
        </w:rPr>
        <w:t>a</w:t>
      </w:r>
      <w:r w:rsidRPr="00BA2A76">
        <w:t>p</w:t>
      </w:r>
      <w:r w:rsidRPr="00BA2A76">
        <w:rPr>
          <w:spacing w:val="-1"/>
        </w:rPr>
        <w:t>plie</w:t>
      </w:r>
      <w:r w:rsidRPr="00BA2A76">
        <w:t>s</w:t>
      </w:r>
      <w:r w:rsidRPr="00BA2A76">
        <w:rPr>
          <w:spacing w:val="-4"/>
        </w:rPr>
        <w:t xml:space="preserve"> </w:t>
      </w:r>
      <w:r w:rsidRPr="00BA2A76">
        <w:rPr>
          <w:spacing w:val="-1"/>
        </w:rPr>
        <w:t>t</w:t>
      </w:r>
      <w:r w:rsidRPr="00BA2A76">
        <w:t>o</w:t>
      </w:r>
      <w:r w:rsidRPr="00BA2A76">
        <w:rPr>
          <w:spacing w:val="-3"/>
        </w:rPr>
        <w:t xml:space="preserve"> </w:t>
      </w:r>
      <w:r w:rsidRPr="00BA2A76">
        <w:rPr>
          <w:spacing w:val="-1"/>
        </w:rPr>
        <w:t>NH</w:t>
      </w:r>
      <w:r w:rsidRPr="00BA2A76">
        <w:t>S</w:t>
      </w:r>
      <w:r w:rsidRPr="00BA2A76">
        <w:rPr>
          <w:spacing w:val="-3"/>
        </w:rPr>
        <w:t xml:space="preserve"> </w:t>
      </w:r>
      <w:r w:rsidR="00E763BD">
        <w:rPr>
          <w:spacing w:val="-3"/>
        </w:rPr>
        <w:t>Vale of York</w:t>
      </w:r>
      <w:r w:rsidRPr="00BA2A76">
        <w:rPr>
          <w:spacing w:val="-4"/>
        </w:rPr>
        <w:t xml:space="preserve"> </w:t>
      </w:r>
      <w:r w:rsidRPr="00BA2A76">
        <w:t>CCG</w:t>
      </w:r>
      <w:r w:rsidRPr="00BA2A76">
        <w:rPr>
          <w:spacing w:val="-6"/>
        </w:rPr>
        <w:t xml:space="preserve"> </w:t>
      </w:r>
      <w:r w:rsidRPr="00BA2A76">
        <w:t>and</w:t>
      </w:r>
      <w:r w:rsidRPr="00BA2A76">
        <w:rPr>
          <w:spacing w:val="-4"/>
        </w:rPr>
        <w:t xml:space="preserve"> </w:t>
      </w:r>
      <w:r w:rsidRPr="00BA2A76">
        <w:t>all</w:t>
      </w:r>
      <w:r w:rsidRPr="00BA2A76">
        <w:rPr>
          <w:spacing w:val="-5"/>
        </w:rPr>
        <w:t xml:space="preserve"> </w:t>
      </w:r>
      <w:r w:rsidRPr="00BA2A76">
        <w:rPr>
          <w:spacing w:val="1"/>
        </w:rPr>
        <w:t>i</w:t>
      </w:r>
      <w:r w:rsidRPr="00BA2A76">
        <w:rPr>
          <w:spacing w:val="-1"/>
        </w:rPr>
        <w:t>t</w:t>
      </w:r>
      <w:r w:rsidRPr="00BA2A76">
        <w:t>s</w:t>
      </w:r>
      <w:r w:rsidRPr="00BA2A76">
        <w:rPr>
          <w:spacing w:val="-4"/>
        </w:rPr>
        <w:t xml:space="preserve"> </w:t>
      </w:r>
      <w:r w:rsidRPr="00BA2A76">
        <w:rPr>
          <w:spacing w:val="1"/>
        </w:rPr>
        <w:t>e</w:t>
      </w:r>
      <w:r w:rsidRPr="00BA2A76">
        <w:rPr>
          <w:spacing w:val="-1"/>
        </w:rPr>
        <w:t>m</w:t>
      </w:r>
      <w:r w:rsidRPr="00BA2A76">
        <w:t>ployees</w:t>
      </w:r>
      <w:r w:rsidRPr="00BA2A76">
        <w:rPr>
          <w:spacing w:val="-5"/>
        </w:rPr>
        <w:t xml:space="preserve"> </w:t>
      </w:r>
      <w:r w:rsidRPr="00BA2A76">
        <w:t>and</w:t>
      </w:r>
      <w:r w:rsidRPr="00BA2A76">
        <w:rPr>
          <w:spacing w:val="-5"/>
        </w:rPr>
        <w:t xml:space="preserve"> </w:t>
      </w:r>
      <w:r w:rsidRPr="00BA2A76">
        <w:t>m</w:t>
      </w:r>
      <w:r w:rsidRPr="00BA2A76">
        <w:rPr>
          <w:spacing w:val="-1"/>
        </w:rPr>
        <w:t>u</w:t>
      </w:r>
      <w:r w:rsidRPr="00BA2A76">
        <w:t>st</w:t>
      </w:r>
      <w:r w:rsidRPr="00BA2A76">
        <w:rPr>
          <w:spacing w:val="-4"/>
        </w:rPr>
        <w:t xml:space="preserve"> </w:t>
      </w:r>
      <w:r w:rsidRPr="00BA2A76">
        <w:rPr>
          <w:spacing w:val="1"/>
        </w:rPr>
        <w:t>b</w:t>
      </w:r>
      <w:r w:rsidRPr="00BA2A76">
        <w:t>e</w:t>
      </w:r>
      <w:r w:rsidRPr="00BA2A76">
        <w:rPr>
          <w:spacing w:val="-5"/>
        </w:rPr>
        <w:t xml:space="preserve"> </w:t>
      </w:r>
      <w:r w:rsidRPr="00BA2A76">
        <w:t>followed</w:t>
      </w:r>
      <w:r w:rsidRPr="00BA2A76">
        <w:rPr>
          <w:spacing w:val="-5"/>
        </w:rPr>
        <w:t xml:space="preserve"> </w:t>
      </w:r>
      <w:r w:rsidRPr="00BA2A76">
        <w:rPr>
          <w:spacing w:val="-1"/>
        </w:rPr>
        <w:t>b</w:t>
      </w:r>
      <w:r w:rsidRPr="00BA2A76">
        <w:t>y</w:t>
      </w:r>
      <w:r w:rsidRPr="00BA2A76">
        <w:rPr>
          <w:spacing w:val="-5"/>
        </w:rPr>
        <w:t xml:space="preserve"> </w:t>
      </w:r>
      <w:r w:rsidRPr="00BA2A76">
        <w:t>all</w:t>
      </w:r>
      <w:r w:rsidRPr="00BA2A76">
        <w:rPr>
          <w:w w:val="99"/>
        </w:rPr>
        <w:t xml:space="preserve"> </w:t>
      </w:r>
      <w:r w:rsidRPr="00BA2A76">
        <w:t>those</w:t>
      </w:r>
      <w:r w:rsidRPr="00BA2A76">
        <w:rPr>
          <w:spacing w:val="-6"/>
        </w:rPr>
        <w:t xml:space="preserve"> </w:t>
      </w:r>
      <w:r w:rsidRPr="00BA2A76">
        <w:t>who</w:t>
      </w:r>
      <w:r w:rsidRPr="00BA2A76">
        <w:rPr>
          <w:spacing w:val="-6"/>
        </w:rPr>
        <w:t xml:space="preserve"> </w:t>
      </w:r>
      <w:r w:rsidRPr="00BA2A76">
        <w:rPr>
          <w:spacing w:val="1"/>
        </w:rPr>
        <w:t>wo</w:t>
      </w:r>
      <w:r w:rsidRPr="00BA2A76">
        <w:t>rk</w:t>
      </w:r>
      <w:r w:rsidRPr="00BA2A76">
        <w:rPr>
          <w:spacing w:val="-6"/>
        </w:rPr>
        <w:t xml:space="preserve"> </w:t>
      </w:r>
      <w:r w:rsidRPr="00BA2A76">
        <w:t>for</w:t>
      </w:r>
      <w:r w:rsidRPr="00BA2A76">
        <w:rPr>
          <w:spacing w:val="-6"/>
        </w:rPr>
        <w:t xml:space="preserve"> </w:t>
      </w:r>
      <w:r w:rsidRPr="00BA2A76">
        <w:rPr>
          <w:spacing w:val="-1"/>
        </w:rPr>
        <w:t>th</w:t>
      </w:r>
      <w:r w:rsidRPr="00BA2A76">
        <w:t>e</w:t>
      </w:r>
      <w:r w:rsidRPr="00BA2A76">
        <w:rPr>
          <w:spacing w:val="-5"/>
        </w:rPr>
        <w:t xml:space="preserve"> </w:t>
      </w:r>
      <w:r w:rsidRPr="00BA2A76">
        <w:t>organisation,</w:t>
      </w:r>
      <w:r w:rsidRPr="00BA2A76">
        <w:rPr>
          <w:spacing w:val="-6"/>
        </w:rPr>
        <w:t xml:space="preserve"> </w:t>
      </w:r>
      <w:r w:rsidRPr="00BA2A76">
        <w:rPr>
          <w:spacing w:val="-1"/>
        </w:rPr>
        <w:t>i</w:t>
      </w:r>
      <w:r w:rsidRPr="00BA2A76">
        <w:t>n</w:t>
      </w:r>
      <w:r w:rsidRPr="00BA2A76">
        <w:rPr>
          <w:spacing w:val="-1"/>
        </w:rPr>
        <w:t>clud</w:t>
      </w:r>
      <w:r w:rsidRPr="00BA2A76">
        <w:t>i</w:t>
      </w:r>
      <w:r w:rsidRPr="00BA2A76">
        <w:rPr>
          <w:spacing w:val="-1"/>
        </w:rPr>
        <w:t>n</w:t>
      </w:r>
      <w:r w:rsidRPr="00BA2A76">
        <w:t>g</w:t>
      </w:r>
      <w:r w:rsidRPr="00BA2A76">
        <w:rPr>
          <w:spacing w:val="-4"/>
        </w:rPr>
        <w:t xml:space="preserve"> </w:t>
      </w:r>
      <w:r w:rsidRPr="00BA2A76">
        <w:rPr>
          <w:spacing w:val="-1"/>
        </w:rPr>
        <w:t>th</w:t>
      </w:r>
      <w:r w:rsidRPr="00BA2A76">
        <w:t>e</w:t>
      </w:r>
      <w:r w:rsidRPr="00BA2A76">
        <w:rPr>
          <w:spacing w:val="-5"/>
        </w:rPr>
        <w:t xml:space="preserve"> </w:t>
      </w:r>
      <w:r w:rsidRPr="00BA2A76">
        <w:t>Governing</w:t>
      </w:r>
      <w:r w:rsidRPr="00BA2A76">
        <w:rPr>
          <w:spacing w:val="-6"/>
        </w:rPr>
        <w:t xml:space="preserve"> </w:t>
      </w:r>
      <w:r w:rsidRPr="00BA2A76">
        <w:t>Body,</w:t>
      </w:r>
      <w:r w:rsidRPr="00BA2A76">
        <w:rPr>
          <w:spacing w:val="-6"/>
        </w:rPr>
        <w:t xml:space="preserve"> </w:t>
      </w:r>
      <w:r w:rsidRPr="00BA2A76">
        <w:t>those</w:t>
      </w:r>
      <w:r w:rsidRPr="00BA2A76">
        <w:rPr>
          <w:spacing w:val="-6"/>
        </w:rPr>
        <w:t xml:space="preserve"> </w:t>
      </w:r>
      <w:r w:rsidRPr="00BA2A76">
        <w:t>on</w:t>
      </w:r>
      <w:r w:rsidRPr="00BA2A76">
        <w:rPr>
          <w:spacing w:val="-5"/>
        </w:rPr>
        <w:t xml:space="preserve"> </w:t>
      </w:r>
      <w:r w:rsidRPr="00BA2A76">
        <w:t>t</w:t>
      </w:r>
      <w:r w:rsidRPr="00BA2A76">
        <w:rPr>
          <w:spacing w:val="1"/>
        </w:rPr>
        <w:t>e</w:t>
      </w:r>
      <w:r w:rsidRPr="00BA2A76">
        <w:t>mporary</w:t>
      </w:r>
      <w:r w:rsidRPr="00BA2A76">
        <w:rPr>
          <w:spacing w:val="-5"/>
        </w:rPr>
        <w:t xml:space="preserve"> </w:t>
      </w:r>
      <w:r w:rsidRPr="00BA2A76">
        <w:t>or</w:t>
      </w:r>
      <w:r w:rsidRPr="00BA2A76">
        <w:rPr>
          <w:w w:val="99"/>
        </w:rPr>
        <w:t xml:space="preserve"> </w:t>
      </w:r>
      <w:r w:rsidRPr="00BA2A76">
        <w:t>honorary</w:t>
      </w:r>
      <w:r w:rsidRPr="00BA2A76">
        <w:rPr>
          <w:spacing w:val="-10"/>
        </w:rPr>
        <w:t xml:space="preserve"> </w:t>
      </w:r>
      <w:r w:rsidRPr="00BA2A76">
        <w:t>con</w:t>
      </w:r>
      <w:r w:rsidRPr="00BA2A76">
        <w:rPr>
          <w:spacing w:val="-1"/>
        </w:rPr>
        <w:t>t</w:t>
      </w:r>
      <w:r w:rsidRPr="00BA2A76">
        <w:t>racts,</w:t>
      </w:r>
      <w:r w:rsidRPr="00BA2A76">
        <w:rPr>
          <w:spacing w:val="-10"/>
        </w:rPr>
        <w:t xml:space="preserve"> </w:t>
      </w:r>
      <w:r w:rsidRPr="00BA2A76">
        <w:t>se</w:t>
      </w:r>
      <w:r w:rsidRPr="00BA2A76">
        <w:rPr>
          <w:spacing w:val="-1"/>
        </w:rPr>
        <w:t>c</w:t>
      </w:r>
      <w:r w:rsidRPr="00BA2A76">
        <w:t>on</w:t>
      </w:r>
      <w:r w:rsidRPr="00BA2A76">
        <w:rPr>
          <w:spacing w:val="-1"/>
        </w:rPr>
        <w:t>dm</w:t>
      </w:r>
      <w:r w:rsidRPr="00BA2A76">
        <w:t>en</w:t>
      </w:r>
      <w:r w:rsidRPr="00BA2A76">
        <w:rPr>
          <w:spacing w:val="-1"/>
        </w:rPr>
        <w:t>t</w:t>
      </w:r>
      <w:r w:rsidRPr="00BA2A76">
        <w:t>s,</w:t>
      </w:r>
      <w:r w:rsidRPr="00BA2A76">
        <w:rPr>
          <w:spacing w:val="-9"/>
        </w:rPr>
        <w:t xml:space="preserve"> </w:t>
      </w:r>
      <w:r w:rsidRPr="00BA2A76">
        <w:t>pool</w:t>
      </w:r>
      <w:r w:rsidRPr="00BA2A76">
        <w:rPr>
          <w:spacing w:val="-10"/>
        </w:rPr>
        <w:t xml:space="preserve"> </w:t>
      </w:r>
      <w:r w:rsidRPr="00BA2A76">
        <w:t>staff,</w:t>
      </w:r>
      <w:r w:rsidRPr="00BA2A76">
        <w:rPr>
          <w:spacing w:val="-9"/>
        </w:rPr>
        <w:t xml:space="preserve"> </w:t>
      </w:r>
      <w:r w:rsidRPr="00BA2A76">
        <w:t>contr</w:t>
      </w:r>
      <w:r w:rsidRPr="00BA2A76">
        <w:rPr>
          <w:spacing w:val="1"/>
        </w:rPr>
        <w:t>a</w:t>
      </w:r>
      <w:r w:rsidRPr="00BA2A76">
        <w:t>c</w:t>
      </w:r>
      <w:r w:rsidRPr="00BA2A76">
        <w:rPr>
          <w:spacing w:val="-1"/>
        </w:rPr>
        <w:t>t</w:t>
      </w:r>
      <w:r w:rsidRPr="00BA2A76">
        <w:t>ors</w:t>
      </w:r>
      <w:r w:rsidRPr="00BA2A76">
        <w:rPr>
          <w:spacing w:val="-10"/>
        </w:rPr>
        <w:t xml:space="preserve"> </w:t>
      </w:r>
      <w:r w:rsidRPr="00BA2A76">
        <w:t>and</w:t>
      </w:r>
      <w:r w:rsidRPr="00BA2A76">
        <w:rPr>
          <w:spacing w:val="-10"/>
        </w:rPr>
        <w:t xml:space="preserve"> </w:t>
      </w:r>
      <w:r w:rsidRPr="00BA2A76">
        <w:t>students.</w:t>
      </w:r>
    </w:p>
    <w:p w14:paraId="16122F11" w14:textId="77777777" w:rsidR="00263E5B" w:rsidRPr="007E18CD" w:rsidRDefault="00263E5B" w:rsidP="00263E5B">
      <w:pPr>
        <w:pStyle w:val="Heading1"/>
      </w:pPr>
      <w:bookmarkStart w:id="8" w:name="_Toc54279225"/>
      <w:bookmarkStart w:id="9" w:name="_Toc58498346"/>
      <w:bookmarkStart w:id="10" w:name="_Toc54273966"/>
      <w:r w:rsidRPr="007E18CD">
        <w:rPr>
          <w:spacing w:val="-1"/>
        </w:rPr>
        <w:t>Dutie</w:t>
      </w:r>
      <w:r w:rsidRPr="007E18CD">
        <w:t>s</w:t>
      </w:r>
      <w:r w:rsidRPr="007E18CD">
        <w:rPr>
          <w:spacing w:val="-11"/>
        </w:rPr>
        <w:t>,</w:t>
      </w:r>
      <w:r w:rsidRPr="007E18CD">
        <w:rPr>
          <w:spacing w:val="-9"/>
        </w:rPr>
        <w:t xml:space="preserve"> </w:t>
      </w:r>
      <w:r w:rsidRPr="007E18CD">
        <w:t>Accountabilities</w:t>
      </w:r>
      <w:r w:rsidRPr="007E18CD">
        <w:rPr>
          <w:spacing w:val="-9"/>
        </w:rPr>
        <w:t xml:space="preserve"> </w:t>
      </w:r>
      <w:r w:rsidRPr="007E18CD">
        <w:t>and</w:t>
      </w:r>
      <w:r w:rsidRPr="007E18CD">
        <w:rPr>
          <w:spacing w:val="-11"/>
        </w:rPr>
        <w:t xml:space="preserve"> </w:t>
      </w:r>
      <w:r w:rsidRPr="007E18CD">
        <w:t>Respons</w:t>
      </w:r>
      <w:r w:rsidRPr="007E18CD">
        <w:rPr>
          <w:spacing w:val="1"/>
        </w:rPr>
        <w:t>i</w:t>
      </w:r>
      <w:r w:rsidRPr="007E18CD">
        <w:t>bilities</w:t>
      </w:r>
      <w:bookmarkEnd w:id="8"/>
      <w:bookmarkEnd w:id="9"/>
    </w:p>
    <w:p w14:paraId="52A46562" w14:textId="77777777" w:rsidR="00263E5B" w:rsidRDefault="00263E5B" w:rsidP="00263E5B">
      <w:pPr>
        <w:pStyle w:val="Heading2"/>
      </w:pPr>
      <w:bookmarkStart w:id="11" w:name="_Toc54279226"/>
      <w:r>
        <w:t>Accountable Officer</w:t>
      </w:r>
      <w:bookmarkEnd w:id="11"/>
    </w:p>
    <w:p w14:paraId="07D24203" w14:textId="77777777" w:rsidR="00263E5B" w:rsidRDefault="00263E5B" w:rsidP="00263E5B">
      <w:r w:rsidRPr="008E740D">
        <w:t xml:space="preserve">Overall accountability for procedural documents across the organisation lies with the </w:t>
      </w:r>
      <w:r>
        <w:t>Accountable Officer</w:t>
      </w:r>
      <w:r w:rsidRPr="008E740D">
        <w:t xml:space="preserve"> who has overall responsibility for establishing and maintaining an effective Information Governance Framework, for meeting all statutory requirements and adhering to guidance issued in respect of procedural documents. </w:t>
      </w:r>
    </w:p>
    <w:p w14:paraId="283B25AA" w14:textId="77777777" w:rsidR="00263E5B" w:rsidRDefault="00263E5B" w:rsidP="00263E5B">
      <w:pPr>
        <w:pStyle w:val="Heading2"/>
      </w:pPr>
      <w:bookmarkStart w:id="12" w:name="_Toc54279227"/>
      <w:r>
        <w:t>SIRO</w:t>
      </w:r>
      <w:bookmarkEnd w:id="12"/>
    </w:p>
    <w:p w14:paraId="0020A38F" w14:textId="77777777" w:rsidR="00263E5B" w:rsidRDefault="00263E5B" w:rsidP="00263E5B">
      <w:r w:rsidRPr="008E740D">
        <w:t xml:space="preserve">The </w:t>
      </w:r>
      <w:r>
        <w:t xml:space="preserve">CCG’s SIRO is </w:t>
      </w:r>
      <w:r w:rsidRPr="008E740D">
        <w:t>responsible</w:t>
      </w:r>
      <w:r>
        <w:t xml:space="preserve"> for overseeing the implementation of appropriate processes and procedures to ensure that </w:t>
      </w:r>
      <w:proofErr w:type="gramStart"/>
      <w:r>
        <w:t>individuals</w:t>
      </w:r>
      <w:proofErr w:type="gramEnd"/>
      <w:r>
        <w:t xml:space="preserve"> information can be processed and held securely.</w:t>
      </w:r>
    </w:p>
    <w:p w14:paraId="7F2F4C48" w14:textId="77777777" w:rsidR="00263E5B" w:rsidRPr="0033522E" w:rsidRDefault="00263E5B" w:rsidP="00263E5B">
      <w:pPr>
        <w:pStyle w:val="Heading2"/>
      </w:pPr>
      <w:bookmarkStart w:id="13" w:name="_Toc54279228"/>
      <w:r>
        <w:t>Caldicott Guardian</w:t>
      </w:r>
      <w:bookmarkEnd w:id="13"/>
    </w:p>
    <w:p w14:paraId="548E7439" w14:textId="77777777" w:rsidR="00263E5B" w:rsidRDefault="00263E5B" w:rsidP="00263E5B">
      <w:r w:rsidRPr="008E740D">
        <w:t xml:space="preserve">The </w:t>
      </w:r>
      <w:r>
        <w:t xml:space="preserve">CCG’s Caldicott Guardian is </w:t>
      </w:r>
      <w:r w:rsidRPr="008E740D">
        <w:t xml:space="preserve">responsible for overseeing and advising on issues of service user confidentiality for the CCG. </w:t>
      </w:r>
    </w:p>
    <w:p w14:paraId="780D7F8D" w14:textId="77777777" w:rsidR="00263E5B" w:rsidRPr="008E740D" w:rsidRDefault="00263E5B" w:rsidP="00263E5B">
      <w:pPr>
        <w:pStyle w:val="Heading2"/>
      </w:pPr>
      <w:bookmarkStart w:id="14" w:name="_Toc54279229"/>
      <w:r>
        <w:t>Line Manager</w:t>
      </w:r>
      <w:bookmarkEnd w:id="14"/>
    </w:p>
    <w:p w14:paraId="38E3440D" w14:textId="77777777" w:rsidR="00263E5B" w:rsidRPr="008E740D" w:rsidRDefault="00263E5B" w:rsidP="00263E5B">
      <w:r w:rsidRPr="008E740D">
        <w:t xml:space="preserve">Line managers are responsible for ensuring that all staff, particularly new staff, temporary staff, contractors and volunteers, know what is expected of them with respect to confidentiality and protecting information. They are also responsible for monitoring compliance with this guideline </w:t>
      </w:r>
      <w:proofErr w:type="gramStart"/>
      <w:r w:rsidRPr="008E740D">
        <w:t>e.g.</w:t>
      </w:r>
      <w:proofErr w:type="gramEnd"/>
      <w:r w:rsidRPr="008E740D">
        <w:t xml:space="preserve"> undertake ad hoc audits to check for inappropriate disclosures, records left out, abuse of passwords etc. </w:t>
      </w:r>
    </w:p>
    <w:p w14:paraId="01B67C12" w14:textId="77777777" w:rsidR="00263E5B" w:rsidRDefault="00263E5B" w:rsidP="00263E5B">
      <w:pPr>
        <w:pStyle w:val="Heading2"/>
      </w:pPr>
      <w:bookmarkStart w:id="15" w:name="_Toc54279230"/>
      <w:r>
        <w:t>All Staff</w:t>
      </w:r>
      <w:bookmarkEnd w:id="15"/>
    </w:p>
    <w:p w14:paraId="50C26DBE" w14:textId="77777777" w:rsidR="00263E5B" w:rsidRPr="008E740D" w:rsidRDefault="00263E5B" w:rsidP="00263E5B">
      <w:r>
        <w:t xml:space="preserve">All </w:t>
      </w:r>
      <w:r w:rsidRPr="008E740D">
        <w:t xml:space="preserve">Staff are responsible for maintaining the confidentiality of all personal and corporate information gained during their employment with the CCG and this extends after they have left the employ of the CCG. </w:t>
      </w:r>
    </w:p>
    <w:p w14:paraId="4DF8FC80" w14:textId="77777777" w:rsidR="00263E5B" w:rsidRPr="008E740D" w:rsidRDefault="00263E5B" w:rsidP="00263E5B">
      <w:r w:rsidRPr="008E740D">
        <w:t xml:space="preserve">Individual staff members are personally responsible for any decision to pass on information that they may make. </w:t>
      </w:r>
    </w:p>
    <w:p w14:paraId="63FB893F" w14:textId="77777777" w:rsidR="00263E5B" w:rsidRPr="008E740D" w:rsidRDefault="00263E5B" w:rsidP="00263E5B">
      <w:r w:rsidRPr="008E740D">
        <w:t xml:space="preserve">All staff are responsible for adhering to the Caldicott principles, Data Protection Legislation, and the Confidentiality Code of Conduct. </w:t>
      </w:r>
    </w:p>
    <w:p w14:paraId="43CD326B" w14:textId="77777777" w:rsidR="00263E5B" w:rsidRPr="008E740D" w:rsidRDefault="00263E5B" w:rsidP="00263E5B">
      <w:r w:rsidRPr="008E740D">
        <w:t xml:space="preserve">Staff will receive instruction and direction regarding the policy from </w:t>
      </w:r>
      <w:proofErr w:type="gramStart"/>
      <w:r w:rsidRPr="008E740D">
        <w:t>a number of</w:t>
      </w:r>
      <w:proofErr w:type="gramEnd"/>
      <w:r w:rsidRPr="008E740D">
        <w:t xml:space="preserve"> sources: </w:t>
      </w:r>
    </w:p>
    <w:p w14:paraId="3214085E" w14:textId="77777777" w:rsidR="00263E5B" w:rsidRPr="008E740D" w:rsidRDefault="00263E5B" w:rsidP="00263E5B">
      <w:pPr>
        <w:pStyle w:val="Bullet1"/>
        <w:ind w:left="1069" w:hanging="360"/>
      </w:pPr>
      <w:r w:rsidRPr="008E740D">
        <w:t xml:space="preserve">policy/strategy and procedure </w:t>
      </w:r>
      <w:proofErr w:type="gramStart"/>
      <w:r w:rsidRPr="008E740D">
        <w:t>manuals;</w:t>
      </w:r>
      <w:proofErr w:type="gramEnd"/>
      <w:r w:rsidRPr="008E740D">
        <w:t xml:space="preserve"> </w:t>
      </w:r>
    </w:p>
    <w:p w14:paraId="4591BB4A" w14:textId="77777777" w:rsidR="00263E5B" w:rsidRPr="008E740D" w:rsidRDefault="00263E5B" w:rsidP="00263E5B">
      <w:pPr>
        <w:pStyle w:val="Bullet1"/>
        <w:ind w:left="1069" w:hanging="360"/>
      </w:pPr>
      <w:r w:rsidRPr="008E740D">
        <w:lastRenderedPageBreak/>
        <w:t xml:space="preserve">line </w:t>
      </w:r>
      <w:proofErr w:type="gramStart"/>
      <w:r w:rsidRPr="008E740D">
        <w:t>manager;</w:t>
      </w:r>
      <w:proofErr w:type="gramEnd"/>
      <w:r w:rsidRPr="008E740D">
        <w:t xml:space="preserve"> </w:t>
      </w:r>
    </w:p>
    <w:p w14:paraId="02CAE81E" w14:textId="77777777" w:rsidR="00263E5B" w:rsidRPr="008E740D" w:rsidRDefault="00263E5B" w:rsidP="00263E5B">
      <w:pPr>
        <w:pStyle w:val="Bullet1"/>
        <w:ind w:left="1069" w:hanging="360"/>
      </w:pPr>
      <w:r w:rsidRPr="008E740D">
        <w:t xml:space="preserve">specific training </w:t>
      </w:r>
      <w:proofErr w:type="gramStart"/>
      <w:r w:rsidRPr="008E740D">
        <w:t>course;</w:t>
      </w:r>
      <w:proofErr w:type="gramEnd"/>
      <w:r w:rsidRPr="008E740D">
        <w:t xml:space="preserve"> </w:t>
      </w:r>
    </w:p>
    <w:p w14:paraId="3D377F65" w14:textId="77777777" w:rsidR="00263E5B" w:rsidRPr="008E740D" w:rsidRDefault="00263E5B" w:rsidP="00263E5B">
      <w:pPr>
        <w:pStyle w:val="Bullet1"/>
        <w:ind w:left="1069" w:hanging="360"/>
      </w:pPr>
      <w:r w:rsidRPr="008E740D">
        <w:t>other communication methods (</w:t>
      </w:r>
      <w:proofErr w:type="gramStart"/>
      <w:r w:rsidRPr="008E740D">
        <w:t>e.g.</w:t>
      </w:r>
      <w:proofErr w:type="gramEnd"/>
      <w:r w:rsidRPr="008E740D">
        <w:t xml:space="preserve"> team brief/team meetings); </w:t>
      </w:r>
    </w:p>
    <w:p w14:paraId="151F1DE3" w14:textId="77777777" w:rsidR="00263E5B" w:rsidRPr="008E740D" w:rsidRDefault="00263E5B" w:rsidP="00263E5B">
      <w:pPr>
        <w:pStyle w:val="Bullet1"/>
        <w:ind w:left="1069" w:hanging="360"/>
      </w:pPr>
      <w:r w:rsidRPr="008E740D">
        <w:t xml:space="preserve">staff </w:t>
      </w:r>
      <w:proofErr w:type="gramStart"/>
      <w:r w:rsidRPr="008E740D">
        <w:t>Intranet;</w:t>
      </w:r>
      <w:proofErr w:type="gramEnd"/>
      <w:r w:rsidRPr="008E740D">
        <w:t xml:space="preserve"> </w:t>
      </w:r>
    </w:p>
    <w:p w14:paraId="65CA4FED" w14:textId="77777777" w:rsidR="00263E5B" w:rsidRPr="008E740D" w:rsidRDefault="00263E5B" w:rsidP="00263E5B">
      <w:r w:rsidRPr="008E740D">
        <w:t xml:space="preserve">All staff are mandated to undertake Information Governance training on an annual basis. This training should be provided within the first year of employment and then updated as appropriate in accordance with the Statutory and Mandatory Training Standard and Information Governance Training Needs Analysis. </w:t>
      </w:r>
    </w:p>
    <w:p w14:paraId="1D69155C" w14:textId="77777777" w:rsidR="00263E5B" w:rsidRPr="008E740D" w:rsidRDefault="00263E5B" w:rsidP="00263E5B">
      <w:r w:rsidRPr="008E740D">
        <w:t>The CCG must ensure that all contractors and supporting organisations are working to documented contracts or service level agreements that detail their responsibilities in respect of information governance and security, and confidentiality and data protection. This includes the completion of the Data Security and Protection Toolkit to a satisfactory level.</w:t>
      </w:r>
    </w:p>
    <w:p w14:paraId="6365313A" w14:textId="77777777" w:rsidR="00263E5B" w:rsidRPr="00F63E73" w:rsidRDefault="00263E5B" w:rsidP="00263E5B">
      <w:pPr>
        <w:pStyle w:val="Heading2"/>
      </w:pPr>
      <w:r w:rsidRPr="00F035A6">
        <w:rPr>
          <w:rFonts w:cs="Arial"/>
        </w:rPr>
        <w:tab/>
      </w:r>
      <w:bookmarkStart w:id="16" w:name="_Toc54089435"/>
      <w:bookmarkStart w:id="17" w:name="_Toc54279231"/>
      <w:r w:rsidRPr="00033AC0">
        <w:t>Responsibilities</w:t>
      </w:r>
      <w:r w:rsidRPr="00F63E73">
        <w:t xml:space="preserve"> for Approval</w:t>
      </w:r>
      <w:bookmarkEnd w:id="16"/>
      <w:bookmarkEnd w:id="17"/>
      <w:r w:rsidRPr="00F63E73">
        <w:t xml:space="preserve"> </w:t>
      </w:r>
    </w:p>
    <w:p w14:paraId="3C1E70DC" w14:textId="77777777" w:rsidR="00263E5B" w:rsidRPr="009B657E" w:rsidRDefault="00263E5B" w:rsidP="00263E5B">
      <w:pPr>
        <w:rPr>
          <w:rFonts w:eastAsia="Calibri"/>
        </w:rPr>
      </w:pPr>
      <w:r w:rsidRPr="009B657E">
        <w:rPr>
          <w:rFonts w:eastAsia="Calibri"/>
          <w:spacing w:val="-1"/>
        </w:rPr>
        <w:t>Audit Committee is responsible for the review and approval of this policy</w:t>
      </w:r>
      <w:r w:rsidR="008B55DB">
        <w:rPr>
          <w:rFonts w:eastAsia="Calibri"/>
          <w:spacing w:val="-1"/>
        </w:rPr>
        <w:t>.</w:t>
      </w:r>
    </w:p>
    <w:p w14:paraId="76DC8C3F" w14:textId="77777777" w:rsidR="00EE4C67" w:rsidRDefault="00EE4C67" w:rsidP="00033AC0">
      <w:pPr>
        <w:pStyle w:val="Heading1"/>
      </w:pPr>
      <w:bookmarkStart w:id="18" w:name="_Toc58498347"/>
      <w:r>
        <w:t xml:space="preserve">Policy </w:t>
      </w:r>
      <w:r w:rsidRPr="00EE4C67">
        <w:t>Procedural</w:t>
      </w:r>
      <w:r>
        <w:t xml:space="preserve"> Requirements</w:t>
      </w:r>
      <w:bookmarkEnd w:id="10"/>
      <w:bookmarkEnd w:id="18"/>
    </w:p>
    <w:p w14:paraId="05FD5569" w14:textId="77777777" w:rsidR="0068357A" w:rsidRPr="007E18CD" w:rsidRDefault="002A7EFF" w:rsidP="00033AC0">
      <w:pPr>
        <w:pStyle w:val="Heading2"/>
      </w:pPr>
      <w:r>
        <w:t>Confidentiality Principles</w:t>
      </w:r>
    </w:p>
    <w:p w14:paraId="62C24ED2" w14:textId="77777777" w:rsidR="002A7EFF" w:rsidRPr="002A7EFF" w:rsidRDefault="002A7EFF" w:rsidP="002A7EFF">
      <w:pPr>
        <w:autoSpaceDE w:val="0"/>
        <w:autoSpaceDN w:val="0"/>
        <w:adjustRightInd w:val="0"/>
        <w:spacing w:after="0" w:line="240" w:lineRule="auto"/>
        <w:ind w:left="360" w:firstLine="360"/>
        <w:jc w:val="both"/>
        <w:rPr>
          <w:rFonts w:eastAsiaTheme="minorHAnsi" w:cs="Arial"/>
        </w:rPr>
      </w:pPr>
      <w:r w:rsidRPr="002A7EFF">
        <w:rPr>
          <w:rFonts w:eastAsiaTheme="minorHAnsi" w:cs="Arial"/>
        </w:rPr>
        <w:t xml:space="preserve">All staff must ensure that the following principles are adhered </w:t>
      </w:r>
      <w:proofErr w:type="gramStart"/>
      <w:r w:rsidRPr="002A7EFF">
        <w:rPr>
          <w:rFonts w:eastAsiaTheme="minorHAnsi" w:cs="Arial"/>
        </w:rPr>
        <w:t>to:-</w:t>
      </w:r>
      <w:proofErr w:type="gramEnd"/>
    </w:p>
    <w:p w14:paraId="5356B889" w14:textId="77777777" w:rsidR="002A7EFF" w:rsidRPr="002A7EFF" w:rsidRDefault="002A7EFF" w:rsidP="002A7EFF">
      <w:pPr>
        <w:autoSpaceDE w:val="0"/>
        <w:autoSpaceDN w:val="0"/>
        <w:adjustRightInd w:val="0"/>
        <w:spacing w:after="0" w:line="240" w:lineRule="auto"/>
        <w:ind w:left="360" w:firstLine="360"/>
        <w:jc w:val="both"/>
        <w:rPr>
          <w:rFonts w:eastAsiaTheme="minorHAnsi" w:cs="Arial"/>
        </w:rPr>
      </w:pPr>
    </w:p>
    <w:p w14:paraId="40F24F57" w14:textId="77777777" w:rsidR="002A7EFF" w:rsidRPr="002A7EFF" w:rsidRDefault="002A7EFF" w:rsidP="00982934">
      <w:pPr>
        <w:pStyle w:val="Bullet1"/>
        <w:rPr>
          <w:rFonts w:asciiTheme="minorHAnsi" w:eastAsiaTheme="minorHAnsi" w:hAnsiTheme="minorHAnsi" w:cstheme="minorHAnsi"/>
        </w:rPr>
      </w:pPr>
      <w:r w:rsidRPr="002A7EFF">
        <w:rPr>
          <w:rFonts w:eastAsiaTheme="minorHAnsi"/>
        </w:rPr>
        <w:t>Personal and special category information, and corporately confidential information must be effectively protected against improper disclosure when it is received, collected, created, stored, transmitted or disposed of.</w:t>
      </w:r>
    </w:p>
    <w:p w14:paraId="2ADA81D7" w14:textId="77777777" w:rsidR="002A7EFF" w:rsidRPr="002A7EFF" w:rsidRDefault="002A7EFF" w:rsidP="00982934">
      <w:pPr>
        <w:pStyle w:val="Bullet1"/>
        <w:rPr>
          <w:rFonts w:asciiTheme="minorHAnsi" w:eastAsiaTheme="minorHAnsi" w:hAnsiTheme="minorHAnsi" w:cstheme="minorHAnsi"/>
        </w:rPr>
      </w:pPr>
      <w:r w:rsidRPr="002A7EFF">
        <w:rPr>
          <w:rFonts w:eastAsiaTheme="minorHAnsi"/>
        </w:rPr>
        <w:t>Access to personal confidential information or corporately confidential information must be allocated on a need-to-know basis.</w:t>
      </w:r>
    </w:p>
    <w:p w14:paraId="1BB3E8A7" w14:textId="77777777" w:rsidR="002A7EFF" w:rsidRDefault="002A7EFF" w:rsidP="00982934">
      <w:pPr>
        <w:pStyle w:val="Bullet1"/>
        <w:rPr>
          <w:rFonts w:eastAsiaTheme="minorHAnsi"/>
        </w:rPr>
      </w:pPr>
      <w:r>
        <w:rPr>
          <w:rFonts w:eastAsiaTheme="minorHAnsi"/>
        </w:rPr>
        <w:t>Disclosure of personal confidential information or corporately confidential information must be limited to that purpose for which the disclosure is required.</w:t>
      </w:r>
    </w:p>
    <w:p w14:paraId="5FF11673" w14:textId="77777777" w:rsidR="002A7EFF" w:rsidRDefault="002A7EFF" w:rsidP="00982934">
      <w:pPr>
        <w:pStyle w:val="Bullet1"/>
        <w:rPr>
          <w:rFonts w:eastAsiaTheme="minorHAnsi"/>
        </w:rPr>
      </w:pPr>
      <w:r>
        <w:rPr>
          <w:rFonts w:eastAsiaTheme="minorHAnsi"/>
        </w:rPr>
        <w:t>Recipients of disclosed information must respect that it is given to them in confidence and treat it accordingly.</w:t>
      </w:r>
    </w:p>
    <w:p w14:paraId="3EF71411" w14:textId="77777777" w:rsidR="002A7EFF" w:rsidRPr="002A7EFF" w:rsidRDefault="002A7EFF" w:rsidP="00982934">
      <w:pPr>
        <w:pStyle w:val="Bullet1"/>
        <w:rPr>
          <w:rFonts w:asciiTheme="minorHAnsi" w:eastAsiaTheme="minorHAnsi" w:hAnsiTheme="minorHAnsi" w:cstheme="minorHAnsi"/>
        </w:rPr>
      </w:pPr>
      <w:r w:rsidRPr="002A7EFF">
        <w:rPr>
          <w:rFonts w:eastAsiaTheme="minorHAnsi"/>
        </w:rPr>
        <w:t>If the decision is taken to disclose information, that decision must be justified and documented.</w:t>
      </w:r>
    </w:p>
    <w:p w14:paraId="27C9A54C" w14:textId="77777777" w:rsidR="002A7EFF" w:rsidRDefault="002A7EFF" w:rsidP="00982934">
      <w:pPr>
        <w:pStyle w:val="Bullet1"/>
        <w:rPr>
          <w:rFonts w:eastAsiaTheme="minorHAnsi"/>
        </w:rPr>
      </w:pPr>
      <w:r>
        <w:rPr>
          <w:rFonts w:eastAsiaTheme="minorHAnsi"/>
        </w:rPr>
        <w:t xml:space="preserve">Where services which need to regularly or routinely share confidential information in order to provide the service must have an information sharing agreement in place, including service user information leaflets and a process to obtain consent for sharing. </w:t>
      </w:r>
    </w:p>
    <w:p w14:paraId="7DD71545" w14:textId="77777777" w:rsidR="002A7EFF" w:rsidRDefault="002A7EFF" w:rsidP="00A0041E">
      <w:pPr>
        <w:pStyle w:val="Bullet2"/>
        <w:numPr>
          <w:ilvl w:val="0"/>
          <w:numId w:val="0"/>
        </w:numPr>
        <w:ind w:left="709"/>
        <w:rPr>
          <w:rFonts w:eastAsiaTheme="minorHAnsi"/>
          <w:bCs/>
        </w:rPr>
      </w:pPr>
      <w:r>
        <w:rPr>
          <w:rFonts w:eastAsiaTheme="minorHAnsi"/>
        </w:rPr>
        <w:t>Any concerns about disclosure must be discussed with either your Line Manager or the Information Governance Team.</w:t>
      </w:r>
    </w:p>
    <w:p w14:paraId="3F57EEE7" w14:textId="77777777" w:rsidR="0068357A" w:rsidRDefault="002A7EFF" w:rsidP="0068357A">
      <w:pPr>
        <w:pStyle w:val="Heading2"/>
      </w:pPr>
      <w:r>
        <w:lastRenderedPageBreak/>
        <w:t>Protecting Personal and Special Category, and Corporately Sensitive Information</w:t>
      </w:r>
    </w:p>
    <w:p w14:paraId="2B74F10E" w14:textId="77777777" w:rsidR="002A7EFF" w:rsidRPr="00982934" w:rsidRDefault="002A7EFF" w:rsidP="00982934">
      <w:r w:rsidRPr="00982934">
        <w:t xml:space="preserve">The CCG is responsible for protecting all the information it </w:t>
      </w:r>
      <w:proofErr w:type="gramStart"/>
      <w:r w:rsidRPr="00982934">
        <w:t>holds at all times</w:t>
      </w:r>
      <w:proofErr w:type="gramEnd"/>
      <w:r w:rsidRPr="00982934">
        <w:t xml:space="preserve"> and must always be able to justify any decision to share information.</w:t>
      </w:r>
    </w:p>
    <w:p w14:paraId="40507775" w14:textId="77777777" w:rsidR="00982934" w:rsidRDefault="002A7EFF" w:rsidP="00982934">
      <w:r w:rsidRPr="00982934">
        <w:t>Personal confidential information, wherever possible, must be anonymised by removing as many identifiers as possible whilst not unduly compromising the utility of data.</w:t>
      </w:r>
    </w:p>
    <w:p w14:paraId="6A03A762" w14:textId="77777777" w:rsidR="002A7EFF" w:rsidRPr="00982934" w:rsidRDefault="002A7EFF" w:rsidP="00982934">
      <w:r w:rsidRPr="00982934">
        <w:t>Appropriate data processing agreements need to be in place to obtain information from the relevant organisations.</w:t>
      </w:r>
    </w:p>
    <w:p w14:paraId="29393950" w14:textId="77777777" w:rsidR="002A7EFF" w:rsidRPr="002A7EFF" w:rsidRDefault="002A7EFF" w:rsidP="00982934">
      <w:r w:rsidRPr="002A7EFF">
        <w:t>Access to rooms and offices where terminals are present or personal confidential information or corporately confidential information is stored must be controlled. Doors must be locked with keys, keypads or accessed by swipe card. In mixed office environments measures should be in place to prevent oversight of personal confidential information or corporately confidential information by unauthorised parties.</w:t>
      </w:r>
    </w:p>
    <w:p w14:paraId="13587C52" w14:textId="77777777" w:rsidR="002A7EFF" w:rsidRPr="002A7EFF" w:rsidRDefault="002A7EFF" w:rsidP="00982934">
      <w:r w:rsidRPr="002A7EFF">
        <w:t xml:space="preserve">All staff should clear their desks at the end of each day. </w:t>
      </w:r>
      <w:proofErr w:type="gramStart"/>
      <w:r w:rsidRPr="002A7EFF">
        <w:t>In particular they</w:t>
      </w:r>
      <w:proofErr w:type="gramEnd"/>
      <w:r w:rsidRPr="002A7EFF">
        <w:t xml:space="preserve"> must keep all records containing personal confidential information or corporately confidential information in recognised filing and storage places that are locked.</w:t>
      </w:r>
    </w:p>
    <w:p w14:paraId="44A6097D" w14:textId="77777777" w:rsidR="002A7EFF" w:rsidRPr="002A7EFF" w:rsidRDefault="002A7EFF" w:rsidP="00982934">
      <w:r w:rsidRPr="002A7EFF">
        <w:t>Unwanted printouts containing personal confidential information or corporately confidential information must be put into a confidential waste bin. Discs, tapes, printouts and fax messages must not be left lying around but be filed and locked away when not in use.</w:t>
      </w:r>
    </w:p>
    <w:p w14:paraId="30C6E6FD" w14:textId="77777777" w:rsidR="002A7EFF" w:rsidRPr="002A7EFF" w:rsidRDefault="002A7EFF" w:rsidP="00982934">
      <w:pPr>
        <w:rPr>
          <w:rFonts w:eastAsiaTheme="minorHAnsi"/>
        </w:rPr>
      </w:pPr>
      <w:r w:rsidRPr="002A7EFF">
        <w:rPr>
          <w:rFonts w:eastAsiaTheme="minorHAnsi"/>
        </w:rPr>
        <w:t>Your Contract of Employment includes a commitment to confidentiality. Breaches of confidentiality could be regarded as gross misconduct and may result in serious disciplinary action up to and including dismissal.</w:t>
      </w:r>
    </w:p>
    <w:p w14:paraId="599844EF" w14:textId="77777777" w:rsidR="0068357A" w:rsidRPr="007E18CD" w:rsidRDefault="00F02FF4" w:rsidP="00033AC0">
      <w:pPr>
        <w:pStyle w:val="Heading2"/>
      </w:pPr>
      <w:r>
        <w:t>Disclosing Personal and Special Category Information</w:t>
      </w:r>
    </w:p>
    <w:p w14:paraId="41997A89" w14:textId="77777777" w:rsidR="00F02FF4" w:rsidRPr="00F02FF4" w:rsidRDefault="00F02FF4" w:rsidP="00982934">
      <w:r w:rsidRPr="00F02FF4">
        <w:t>To ensure that information is only shared with the appropriate people and in                   appropriate circumstances, care must be taken to check those people have a legal basis for access to the information before releasing it.</w:t>
      </w:r>
    </w:p>
    <w:p w14:paraId="37FEC152" w14:textId="77777777" w:rsidR="00F02FF4" w:rsidRPr="00F02FF4" w:rsidRDefault="00F02FF4" w:rsidP="00982934">
      <w:pPr>
        <w:rPr>
          <w:szCs w:val="24"/>
        </w:rPr>
      </w:pPr>
      <w:r w:rsidRPr="00F02FF4">
        <w:rPr>
          <w:szCs w:val="24"/>
        </w:rPr>
        <w:t>It is important to consider how much confidential information is needed before disclosing it and only the minimal amount necessary is disclosed.</w:t>
      </w:r>
    </w:p>
    <w:p w14:paraId="434B41AD" w14:textId="77777777" w:rsidR="00F02FF4" w:rsidRDefault="0007239F" w:rsidP="00982934">
      <w:pPr>
        <w:rPr>
          <w:szCs w:val="24"/>
        </w:rPr>
      </w:pPr>
      <w:r>
        <w:rPr>
          <w:szCs w:val="24"/>
        </w:rPr>
        <w:t>Information can be disclosed:</w:t>
      </w:r>
    </w:p>
    <w:p w14:paraId="3923705A" w14:textId="77777777" w:rsidR="0007239F" w:rsidRPr="00F02FF4" w:rsidRDefault="0007239F" w:rsidP="00982934">
      <w:pPr>
        <w:pStyle w:val="Bullet1"/>
      </w:pPr>
      <w:r w:rsidRPr="00F02FF4">
        <w:t>When effectively anonymised.</w:t>
      </w:r>
    </w:p>
    <w:p w14:paraId="1F99F2C1" w14:textId="77777777" w:rsidR="0007239F" w:rsidRPr="00F02FF4" w:rsidRDefault="0007239F" w:rsidP="00982934">
      <w:pPr>
        <w:pStyle w:val="Bullet1"/>
      </w:pPr>
      <w:r w:rsidRPr="00F02FF4">
        <w:t>When the information is required by law or under a court order. In this situation staff must discuss with their Line Manager and obtain approval of the Caldicott Guardian.</w:t>
      </w:r>
    </w:p>
    <w:p w14:paraId="7002A995" w14:textId="77777777" w:rsidR="0007239F" w:rsidRPr="00F02FF4" w:rsidRDefault="0007239F" w:rsidP="00982934">
      <w:pPr>
        <w:pStyle w:val="Bullet1"/>
      </w:pPr>
      <w:r w:rsidRPr="00F02FF4">
        <w:t>In identifiable form, when it is required for a specific purpose, with the individual’s written consent or with support under the Health Service (Control of patient information) regulations 2002, obtained via application to the Confidentiality Advisory Group (CAG) withi</w:t>
      </w:r>
      <w:r w:rsidR="00806DDD">
        <w:t>n the Health Research Authority</w:t>
      </w:r>
      <w:r w:rsidRPr="00F02FF4">
        <w:t>.</w:t>
      </w:r>
    </w:p>
    <w:p w14:paraId="3130A04E" w14:textId="77777777" w:rsidR="0007239F" w:rsidRPr="00F02FF4" w:rsidRDefault="0007239F" w:rsidP="00982934">
      <w:pPr>
        <w:pStyle w:val="Bullet1"/>
      </w:pPr>
      <w:r w:rsidRPr="00F02FF4">
        <w:lastRenderedPageBreak/>
        <w:t>In Child Protection proceedings if it is considered that the information required is in the public or child’s interest. In this situation staff must discuss with their Line Manager and obtain approval of the Caldicott Guardian.</w:t>
      </w:r>
    </w:p>
    <w:p w14:paraId="3182AED2" w14:textId="77777777" w:rsidR="0007239F" w:rsidRDefault="0007239F" w:rsidP="00982934">
      <w:r w:rsidRPr="00F02FF4">
        <w:t>Where disclosure can be justified for another purpose, this is usually for the protection of the public and is likely to be in relation to the prevention and detection of serious crime. In this situation staff must discuss with their Line Manager and obtain approval of the Caldicott Guardian.</w:t>
      </w:r>
    </w:p>
    <w:p w14:paraId="7D7989FF" w14:textId="77777777" w:rsidR="00F02FF4" w:rsidRPr="0007239F" w:rsidRDefault="00F02FF4" w:rsidP="00982934">
      <w:pPr>
        <w:rPr>
          <w:szCs w:val="24"/>
        </w:rPr>
      </w:pPr>
      <w:r w:rsidRPr="0007239F">
        <w:t xml:space="preserve">If staff have any concerns about disclosing </w:t>
      </w:r>
      <w:proofErr w:type="gramStart"/>
      <w:r w:rsidRPr="0007239F">
        <w:t>information</w:t>
      </w:r>
      <w:proofErr w:type="gramEnd"/>
      <w:r w:rsidRPr="0007239F">
        <w:t xml:space="preserve"> they must discuss this with their Line Manager or the Information Governance Team</w:t>
      </w:r>
      <w:r w:rsidRPr="0007239F">
        <w:rPr>
          <w:color w:val="365F91" w:themeColor="accent1" w:themeShade="BF"/>
        </w:rPr>
        <w:t>.</w:t>
      </w:r>
    </w:p>
    <w:p w14:paraId="3AB0086D" w14:textId="77777777" w:rsidR="00F02FF4" w:rsidRDefault="00F02FF4" w:rsidP="00982934">
      <w:r w:rsidRPr="0007239F">
        <w:t>Care must be taken in transferring information to ensure that the method</w:t>
      </w:r>
      <w:r w:rsidR="00982934">
        <w:t xml:space="preserve"> </w:t>
      </w:r>
      <w:r w:rsidRPr="00F02FF4">
        <w:t>used is as secure as it can be. In most instances a Data Sharing, Data Re-Use or Data Transfer Agreement will have been completed before any information is transferred. The Agreement will set out any conditions for use and identify the mode of transfer. For further information on Data Sharing Agreements contact the Information Governance team or see the Information Sharing Protocol.</w:t>
      </w:r>
    </w:p>
    <w:p w14:paraId="0E402321" w14:textId="77777777" w:rsidR="00F02FF4" w:rsidRPr="0007239F" w:rsidRDefault="00F02FF4" w:rsidP="00982934">
      <w:r w:rsidRPr="0007239F">
        <w:t xml:space="preserve">Staff must ensure that appropriate standards and safeguards are in place in respect of telephone enquiries, e-mails, faxes and surface mail. </w:t>
      </w:r>
    </w:p>
    <w:p w14:paraId="4D90612F" w14:textId="77777777" w:rsidR="00F02FF4" w:rsidRPr="0007239F" w:rsidRDefault="00F02FF4" w:rsidP="00982934">
      <w:r w:rsidRPr="0007239F">
        <w:t>Transferring patient information by email to anyone outside the CCG network may only be undertaken through the NHS Mail system (</w:t>
      </w:r>
      <w:proofErr w:type="gramStart"/>
      <w:r w:rsidRPr="0007239F">
        <w:t>i.e.</w:t>
      </w:r>
      <w:proofErr w:type="gramEnd"/>
      <w:r w:rsidRPr="0007239F">
        <w:t xml:space="preserve"> from one </w:t>
      </w:r>
      <w:proofErr w:type="spellStart"/>
      <w:r w:rsidRPr="0007239F">
        <w:t>NHSnet</w:t>
      </w:r>
      <w:proofErr w:type="spellEnd"/>
      <w:r w:rsidRPr="0007239F">
        <w:t xml:space="preserve"> account to another </w:t>
      </w:r>
      <w:proofErr w:type="spellStart"/>
      <w:r w:rsidRPr="0007239F">
        <w:t>NHSnet</w:t>
      </w:r>
      <w:proofErr w:type="spellEnd"/>
      <w:r w:rsidRPr="0007239F">
        <w:t xml:space="preserve"> account or to a se</w:t>
      </w:r>
      <w:r w:rsidR="00806DDD">
        <w:t xml:space="preserve">cure government domain e.g. </w:t>
      </w:r>
      <w:r w:rsidRPr="0007239F">
        <w:t xml:space="preserve">gov.uk), since this ensures that mandatory government standards on encryption are met. As per the </w:t>
      </w:r>
      <w:r w:rsidR="00806DDD">
        <w:t>Data Protection and Confidentiality,</w:t>
      </w:r>
      <w:r w:rsidRPr="0007239F">
        <w:t xml:space="preserve"> and Email Policies.</w:t>
      </w:r>
    </w:p>
    <w:p w14:paraId="36ED2AC1" w14:textId="77777777" w:rsidR="00F02FF4" w:rsidRPr="00F02FF4" w:rsidRDefault="00F02FF4" w:rsidP="00982934">
      <w:r w:rsidRPr="00F02FF4">
        <w:t>Sending information via email to patients is permissible, provided the risks of using unencrypted email have been explained to them, they have given their consent and the information is not person-identifiable or confidential information.</w:t>
      </w:r>
    </w:p>
    <w:p w14:paraId="438E106B" w14:textId="77777777" w:rsidR="00F02FF4" w:rsidRDefault="00F02FF4" w:rsidP="00982934">
      <w:r w:rsidRPr="00F02FF4">
        <w:t xml:space="preserve">Staff should be made aware of the NHS Mail facility that allows personal confidential information to be sent securely to non- NHS Mail addresses and allows the recipient to respond in a secure manner if necessary. This should be used wherever possible when corresponding with </w:t>
      </w:r>
      <w:proofErr w:type="gramStart"/>
      <w:r w:rsidRPr="00F02FF4">
        <w:t>none</w:t>
      </w:r>
      <w:proofErr w:type="gramEnd"/>
      <w:r w:rsidRPr="00F02FF4">
        <w:t xml:space="preserve"> NHS Mail account holders where confidential information needs to be sent.</w:t>
      </w:r>
    </w:p>
    <w:p w14:paraId="3C18BEB3" w14:textId="77777777" w:rsidR="002A7EFF" w:rsidRDefault="00982934" w:rsidP="0007239F">
      <w:pPr>
        <w:pStyle w:val="Heading2"/>
      </w:pPr>
      <w:r>
        <w:t>W</w:t>
      </w:r>
      <w:r w:rsidR="0007239F">
        <w:t>orking Away from an Office Environment</w:t>
      </w:r>
    </w:p>
    <w:p w14:paraId="1C58AD19" w14:textId="77777777" w:rsidR="0007239F" w:rsidRPr="00115733" w:rsidRDefault="0007239F" w:rsidP="00982934">
      <w:r w:rsidRPr="00115733">
        <w:t xml:space="preserve">There will be times when staff may need to work from another location or whilst travelling. This means that these staff may need to carry CCG information with them which could be confidential in nature </w:t>
      </w:r>
      <w:proofErr w:type="gramStart"/>
      <w:r w:rsidRPr="00115733">
        <w:t>e.g.</w:t>
      </w:r>
      <w:proofErr w:type="gramEnd"/>
      <w:r w:rsidRPr="00115733">
        <w:t xml:space="preserve"> on a laptop, USB stick or paper documents, therefore appropriate measures must be taken to protect the information whilst away from organisational premises.</w:t>
      </w:r>
    </w:p>
    <w:p w14:paraId="10F56A48" w14:textId="77777777" w:rsidR="0007239F" w:rsidRPr="00115733" w:rsidRDefault="0007239F" w:rsidP="00982934">
      <w:pPr>
        <w:rPr>
          <w:color w:val="365F91" w:themeColor="accent1" w:themeShade="BF"/>
        </w:rPr>
      </w:pPr>
      <w:r w:rsidRPr="00115733">
        <w:t>Taking home/ removing paper documents that contain personal confidential information or corporately confidential information from CCG premises must only be done by authorised staff and the minimum information taken. Appropriate security measures must be adopted to protect that information whilst away from organisational premises</w:t>
      </w:r>
      <w:r w:rsidRPr="00115733">
        <w:rPr>
          <w:color w:val="365F91" w:themeColor="accent1" w:themeShade="BF"/>
        </w:rPr>
        <w:t>.</w:t>
      </w:r>
    </w:p>
    <w:p w14:paraId="31FB0999" w14:textId="77777777" w:rsidR="0007239F" w:rsidRPr="00115733" w:rsidRDefault="0007239F" w:rsidP="00982934">
      <w:r w:rsidRPr="00115733">
        <w:lastRenderedPageBreak/>
        <w:t>When working away from CCG locations staff must ensure that their working practices comply with CCG policies and procedures. Any removable media must be encrypted as per the current NHS Encryption Guidance.</w:t>
      </w:r>
    </w:p>
    <w:p w14:paraId="06AC0A54" w14:textId="77777777" w:rsidR="0007239F" w:rsidRPr="00115733" w:rsidRDefault="0007239F" w:rsidP="00982934">
      <w:pPr>
        <w:rPr>
          <w:b/>
        </w:rPr>
      </w:pPr>
      <w:r w:rsidRPr="00115733">
        <w:t xml:space="preserve">To ensure safety of personal confidential information or corporately confidential information staff must take reasonable steps to ensure the security of that information whilst travelling and ensure that it is kept in a secure place if they take it home or to another location. Personal confidential information or corporately confidential information must be </w:t>
      </w:r>
      <w:proofErr w:type="gramStart"/>
      <w:r w:rsidRPr="00115733">
        <w:t>safeguarded at all times</w:t>
      </w:r>
      <w:proofErr w:type="gramEnd"/>
      <w:r w:rsidRPr="00115733">
        <w:t xml:space="preserve"> and kept in lockable locations.</w:t>
      </w:r>
      <w:r w:rsidRPr="00115733">
        <w:rPr>
          <w:b/>
        </w:rPr>
        <w:t xml:space="preserve"> </w:t>
      </w:r>
    </w:p>
    <w:p w14:paraId="1114E088" w14:textId="77777777" w:rsidR="0007239F" w:rsidRPr="00115733" w:rsidRDefault="0007239F" w:rsidP="00982934">
      <w:r w:rsidRPr="00115733">
        <w:t xml:space="preserve">Staff must minimise the amount of personal confidential information or corporately confidential information that is taken away from CCG premises. </w:t>
      </w:r>
    </w:p>
    <w:p w14:paraId="68F674BB" w14:textId="77777777" w:rsidR="0007239F" w:rsidRPr="00115733" w:rsidRDefault="0007239F" w:rsidP="00982934">
      <w:r w:rsidRPr="00115733">
        <w:t xml:space="preserve">If staff do need to carry personal confidential information or corporately confidential </w:t>
      </w:r>
      <w:proofErr w:type="gramStart"/>
      <w:r w:rsidRPr="00115733">
        <w:t>information</w:t>
      </w:r>
      <w:proofErr w:type="gramEnd"/>
      <w:r w:rsidRPr="00115733">
        <w:t xml:space="preserve"> they must ensure the following:</w:t>
      </w:r>
    </w:p>
    <w:p w14:paraId="51E91408" w14:textId="77777777" w:rsidR="0007239F" w:rsidRPr="00115733" w:rsidRDefault="0007239F" w:rsidP="00982934">
      <w:pPr>
        <w:pStyle w:val="Bullet1"/>
        <w:rPr>
          <w:b/>
        </w:rPr>
      </w:pPr>
      <w:r w:rsidRPr="00115733">
        <w:t xml:space="preserve">Any personal confidential information or corporately confidential information must be carried in a suitable lockable container, etc. Prior to taking any information out, staff should consider and remember that they may be personally liable for breaches of current Data Protection Legislation and their Contract of Employment. </w:t>
      </w:r>
    </w:p>
    <w:p w14:paraId="75B25889" w14:textId="77777777" w:rsidR="0007239F" w:rsidRPr="00115733" w:rsidRDefault="0007239F" w:rsidP="00982934">
      <w:r w:rsidRPr="00115733">
        <w:t xml:space="preserve">If staff do need to take personal confidential information or corporately confidential information </w:t>
      </w:r>
      <w:proofErr w:type="gramStart"/>
      <w:r w:rsidRPr="00115733">
        <w:t>home</w:t>
      </w:r>
      <w:proofErr w:type="gramEnd"/>
      <w:r w:rsidRPr="00115733">
        <w:t xml:space="preserve"> they have personal responsibility to ensure the information is kept secure and confidential. This means that other members of their family and/or their friends/colleagues must not be able to see the content or have any access to the information.</w:t>
      </w:r>
    </w:p>
    <w:p w14:paraId="55FB739C" w14:textId="77777777" w:rsidR="0007239F" w:rsidRPr="00115733" w:rsidRDefault="0007239F" w:rsidP="00982934">
      <w:r w:rsidRPr="00115733">
        <w:t>Staff must NOT forward any personal confidential information or corporately confidential information via email to their home e-mail account. Staff must not use or store personal confidential information or corporately confidential information on a privately owned computer or device.</w:t>
      </w:r>
    </w:p>
    <w:p w14:paraId="2A8EFA9E" w14:textId="77777777" w:rsidR="0007239F" w:rsidRDefault="0007239F" w:rsidP="0007239F">
      <w:pPr>
        <w:pStyle w:val="Heading2"/>
      </w:pPr>
      <w:r>
        <w:t>Carelessness</w:t>
      </w:r>
    </w:p>
    <w:p w14:paraId="4A315C29" w14:textId="77777777" w:rsidR="0007239F" w:rsidRPr="0007239F" w:rsidRDefault="0007239F" w:rsidP="00982934">
      <w:pPr>
        <w:rPr>
          <w:rFonts w:eastAsiaTheme="minorHAnsi"/>
        </w:rPr>
      </w:pPr>
      <w:r w:rsidRPr="0007239F">
        <w:rPr>
          <w:rFonts w:eastAsiaTheme="minorHAnsi"/>
        </w:rPr>
        <w:t>All staff have a legal duty of confidence to keep personal confidential information or corporately confidential information private and not to divulge information accidentally. Staff may be held personally liable for a breach of confidence and must not:</w:t>
      </w:r>
    </w:p>
    <w:p w14:paraId="62A965C9" w14:textId="77777777" w:rsidR="0007239F" w:rsidRPr="0007239F" w:rsidRDefault="0007239F" w:rsidP="0007239F">
      <w:pPr>
        <w:tabs>
          <w:tab w:val="left" w:pos="2010"/>
        </w:tabs>
        <w:autoSpaceDE w:val="0"/>
        <w:autoSpaceDN w:val="0"/>
        <w:adjustRightInd w:val="0"/>
        <w:spacing w:after="0" w:line="240" w:lineRule="auto"/>
        <w:ind w:left="1485"/>
        <w:contextualSpacing/>
        <w:jc w:val="both"/>
        <w:rPr>
          <w:rFonts w:eastAsiaTheme="minorHAnsi" w:cs="Arial"/>
          <w:szCs w:val="24"/>
        </w:rPr>
      </w:pPr>
      <w:r w:rsidRPr="0007239F">
        <w:rPr>
          <w:rFonts w:eastAsiaTheme="minorHAnsi" w:cs="Arial"/>
          <w:szCs w:val="24"/>
        </w:rPr>
        <w:tab/>
      </w:r>
    </w:p>
    <w:p w14:paraId="17B2C882" w14:textId="77777777" w:rsidR="0007239F" w:rsidRPr="0007239F" w:rsidRDefault="0007239F" w:rsidP="00982934">
      <w:pPr>
        <w:pStyle w:val="Bullet1"/>
        <w:rPr>
          <w:rFonts w:eastAsiaTheme="minorHAnsi"/>
        </w:rPr>
      </w:pPr>
      <w:r w:rsidRPr="0007239F">
        <w:rPr>
          <w:rFonts w:eastAsiaTheme="minorHAnsi"/>
        </w:rPr>
        <w:t>Talk about personal confidential information or corporately confidential information in public places or where they can be overheard.</w:t>
      </w:r>
    </w:p>
    <w:p w14:paraId="40C2D9B3" w14:textId="77777777" w:rsidR="0007239F" w:rsidRPr="0007239F" w:rsidRDefault="0007239F" w:rsidP="00982934">
      <w:pPr>
        <w:pStyle w:val="Bullet1"/>
        <w:rPr>
          <w:rFonts w:eastAsiaTheme="minorHAnsi"/>
        </w:rPr>
      </w:pPr>
      <w:r w:rsidRPr="0007239F">
        <w:rPr>
          <w:rFonts w:eastAsiaTheme="minorHAnsi"/>
        </w:rPr>
        <w:t>Leave any personal confidential information or corporately confidential information lying around unattended, this includes telephone messages, computer printouts, faxes and other documents, and</w:t>
      </w:r>
    </w:p>
    <w:p w14:paraId="0E2683E5" w14:textId="77777777" w:rsidR="0007239F" w:rsidRPr="0007239F" w:rsidRDefault="0007239F" w:rsidP="00982934">
      <w:pPr>
        <w:pStyle w:val="Bullet1"/>
        <w:rPr>
          <w:rFonts w:eastAsiaTheme="minorHAnsi"/>
        </w:rPr>
      </w:pPr>
      <w:r w:rsidRPr="0007239F">
        <w:rPr>
          <w:rFonts w:eastAsiaTheme="minorHAnsi"/>
        </w:rPr>
        <w:t>Leave a computer terminal logged on to a system where personal confidential information or corporately confidential information can be accessed, unattended.</w:t>
      </w:r>
    </w:p>
    <w:p w14:paraId="769E8FD3" w14:textId="77777777" w:rsidR="0007239F" w:rsidRPr="0007239F" w:rsidRDefault="0007239F" w:rsidP="00982934">
      <w:pPr>
        <w:rPr>
          <w:rFonts w:eastAsiaTheme="minorHAnsi"/>
        </w:rPr>
      </w:pPr>
      <w:r w:rsidRPr="0007239F">
        <w:rPr>
          <w:rFonts w:eastAsiaTheme="minorHAnsi"/>
        </w:rPr>
        <w:t>Steps must be taken to ensure physical safety and security of personal confidential   information or corporately confidential information held in paper format and on computers.</w:t>
      </w:r>
    </w:p>
    <w:p w14:paraId="3C00953A" w14:textId="77777777" w:rsidR="0007239F" w:rsidRPr="0007239F" w:rsidRDefault="0007239F" w:rsidP="00982934">
      <w:pPr>
        <w:rPr>
          <w:rFonts w:eastAsiaTheme="minorHAnsi"/>
          <w:b/>
          <w:bCs/>
        </w:rPr>
      </w:pPr>
      <w:r w:rsidRPr="0007239F">
        <w:rPr>
          <w:rFonts w:eastAsiaTheme="minorHAnsi"/>
        </w:rPr>
        <w:lastRenderedPageBreak/>
        <w:t>Passwords must be kept secure and must not be disclosed any other person. Staff must not use someone else’s password to gain access to information. Action of this kind will be viewed as a serious breach of confidentiality. This is a disciplinary offence and constitutes gross misconduct which may result in summary dismissal.</w:t>
      </w:r>
    </w:p>
    <w:p w14:paraId="7D69AA68" w14:textId="77777777" w:rsidR="0007239F" w:rsidRDefault="0050360F" w:rsidP="0050360F">
      <w:pPr>
        <w:pStyle w:val="Heading2"/>
      </w:pPr>
      <w:r>
        <w:t>Abuse of Privilege</w:t>
      </w:r>
    </w:p>
    <w:p w14:paraId="59BB5DE7" w14:textId="77777777" w:rsidR="0050360F" w:rsidRPr="0050360F" w:rsidRDefault="0050360F" w:rsidP="00982934">
      <w:pPr>
        <w:rPr>
          <w:rFonts w:eastAsiaTheme="minorHAnsi"/>
        </w:rPr>
      </w:pPr>
      <w:r w:rsidRPr="0050360F">
        <w:rPr>
          <w:rFonts w:eastAsiaTheme="minorHAnsi"/>
        </w:rPr>
        <w:t>It is strictly forbidden for employees to knowingly browse, search for or look at any information relating to themselves, their own family, friends or other persons, without a legitimate purpose. Action of this kind will be viewed as a breach of confidentiality and of the current Data Protection Legislation.</w:t>
      </w:r>
    </w:p>
    <w:p w14:paraId="040E4628" w14:textId="77777777" w:rsidR="0050360F" w:rsidRPr="0050360F" w:rsidRDefault="0050360F" w:rsidP="00982934">
      <w:pPr>
        <w:rPr>
          <w:rFonts w:eastAsiaTheme="minorHAnsi"/>
        </w:rPr>
      </w:pPr>
      <w:r w:rsidRPr="0050360F">
        <w:rPr>
          <w:rFonts w:eastAsiaTheme="minorHAnsi"/>
        </w:rPr>
        <w:t>When dealing with personal confidential information or corporately confidential information of any nature, staff must be aware of their personal responsibility, contractual obligations and undertake to abide by the policies and procedures of CCG.</w:t>
      </w:r>
    </w:p>
    <w:p w14:paraId="32A61AD7" w14:textId="77777777" w:rsidR="0050360F" w:rsidRPr="0050360F" w:rsidRDefault="0050360F" w:rsidP="00982934">
      <w:pPr>
        <w:rPr>
          <w:rFonts w:eastAsiaTheme="minorHAnsi"/>
        </w:rPr>
      </w:pPr>
      <w:r w:rsidRPr="0050360F">
        <w:rPr>
          <w:rFonts w:eastAsiaTheme="minorHAnsi"/>
        </w:rPr>
        <w:t xml:space="preserve">If staff have concerns about this </w:t>
      </w:r>
      <w:proofErr w:type="gramStart"/>
      <w:r w:rsidRPr="0050360F">
        <w:rPr>
          <w:rFonts w:eastAsiaTheme="minorHAnsi"/>
        </w:rPr>
        <w:t>issue</w:t>
      </w:r>
      <w:proofErr w:type="gramEnd"/>
      <w:r w:rsidRPr="0050360F">
        <w:rPr>
          <w:rFonts w:eastAsiaTheme="minorHAnsi"/>
        </w:rPr>
        <w:t xml:space="preserve"> they should discuss it with their Line Manager or Information Governance Team.</w:t>
      </w:r>
    </w:p>
    <w:p w14:paraId="29606753" w14:textId="77777777" w:rsidR="0068357A" w:rsidRPr="00C81DFC" w:rsidRDefault="0068357A" w:rsidP="00033AC0">
      <w:pPr>
        <w:pStyle w:val="Heading1"/>
      </w:pPr>
      <w:bookmarkStart w:id="19" w:name="_Toc54273967"/>
      <w:bookmarkStart w:id="20" w:name="_Toc58498348"/>
      <w:r w:rsidRPr="00C81DFC">
        <w:rPr>
          <w:spacing w:val="-1"/>
        </w:rPr>
        <w:t>Publi</w:t>
      </w:r>
      <w:r w:rsidRPr="00C81DFC">
        <w:t>c</w:t>
      </w:r>
      <w:r w:rsidRPr="00C81DFC">
        <w:rPr>
          <w:spacing w:val="-7"/>
        </w:rPr>
        <w:t xml:space="preserve"> </w:t>
      </w:r>
      <w:r w:rsidRPr="00C81DFC">
        <w:t>Sec</w:t>
      </w:r>
      <w:r w:rsidRPr="00C81DFC">
        <w:rPr>
          <w:spacing w:val="-1"/>
        </w:rPr>
        <w:t>t</w:t>
      </w:r>
      <w:r w:rsidRPr="00C81DFC">
        <w:t>or</w:t>
      </w:r>
      <w:r w:rsidRPr="00C81DFC">
        <w:rPr>
          <w:spacing w:val="-8"/>
        </w:rPr>
        <w:t xml:space="preserve"> </w:t>
      </w:r>
      <w:r w:rsidRPr="00C81DFC">
        <w:rPr>
          <w:spacing w:val="-1"/>
        </w:rPr>
        <w:t>E</w:t>
      </w:r>
      <w:r w:rsidRPr="00C81DFC">
        <w:rPr>
          <w:spacing w:val="1"/>
        </w:rPr>
        <w:t>q</w:t>
      </w:r>
      <w:r w:rsidRPr="00C81DFC">
        <w:rPr>
          <w:spacing w:val="-1"/>
        </w:rPr>
        <w:t>ual</w:t>
      </w:r>
      <w:r w:rsidRPr="00C81DFC">
        <w:rPr>
          <w:spacing w:val="1"/>
        </w:rPr>
        <w:t>i</w:t>
      </w:r>
      <w:r w:rsidRPr="00C81DFC">
        <w:rPr>
          <w:spacing w:val="-1"/>
        </w:rPr>
        <w:t>t</w:t>
      </w:r>
      <w:r w:rsidRPr="00C81DFC">
        <w:t>y</w:t>
      </w:r>
      <w:r w:rsidRPr="00C81DFC">
        <w:rPr>
          <w:spacing w:val="-8"/>
        </w:rPr>
        <w:t xml:space="preserve"> </w:t>
      </w:r>
      <w:r w:rsidRPr="00C81DFC">
        <w:t>Duty</w:t>
      </w:r>
      <w:bookmarkEnd w:id="19"/>
      <w:bookmarkEnd w:id="20"/>
    </w:p>
    <w:p w14:paraId="72689DFC" w14:textId="77777777" w:rsidR="00B01E35" w:rsidRPr="007E18CD" w:rsidRDefault="00B01E35" w:rsidP="003A65F7">
      <w:pPr>
        <w:jc w:val="both"/>
        <w:rPr>
          <w:color w:val="FF0000"/>
        </w:rPr>
      </w:pPr>
      <w:r w:rsidRPr="00F364E6">
        <w:rPr>
          <w:rFonts w:eastAsia="Arial"/>
          <w:spacing w:val="1"/>
        </w:rPr>
        <w:t>I</w:t>
      </w:r>
      <w:r w:rsidRPr="00F364E6">
        <w:rPr>
          <w:rFonts w:eastAsia="Arial"/>
        </w:rPr>
        <w:t>n</w:t>
      </w:r>
      <w:r w:rsidRPr="00F364E6">
        <w:rPr>
          <w:rFonts w:eastAsia="Arial"/>
          <w:spacing w:val="27"/>
        </w:rPr>
        <w:t xml:space="preserve"> </w:t>
      </w:r>
      <w:r w:rsidRPr="003A65F7">
        <w:rPr>
          <w:rFonts w:eastAsia="Arial"/>
          <w:szCs w:val="24"/>
        </w:rPr>
        <w:t>de</w:t>
      </w:r>
      <w:r w:rsidRPr="003A65F7">
        <w:rPr>
          <w:rFonts w:eastAsia="Arial"/>
          <w:spacing w:val="-2"/>
          <w:szCs w:val="24"/>
        </w:rPr>
        <w:t>v</w:t>
      </w:r>
      <w:r w:rsidRPr="003A65F7">
        <w:rPr>
          <w:rFonts w:eastAsia="Arial"/>
          <w:szCs w:val="24"/>
        </w:rPr>
        <w:t>e</w:t>
      </w:r>
      <w:r w:rsidRPr="003A65F7">
        <w:rPr>
          <w:rFonts w:eastAsia="Arial"/>
          <w:spacing w:val="-1"/>
          <w:szCs w:val="24"/>
        </w:rPr>
        <w:t>l</w:t>
      </w:r>
      <w:r w:rsidRPr="003A65F7">
        <w:rPr>
          <w:rFonts w:eastAsia="Arial"/>
          <w:szCs w:val="24"/>
        </w:rPr>
        <w:t>op</w:t>
      </w:r>
      <w:r w:rsidRPr="003A65F7">
        <w:rPr>
          <w:rFonts w:eastAsia="Arial"/>
          <w:spacing w:val="-1"/>
          <w:szCs w:val="24"/>
        </w:rPr>
        <w:t>i</w:t>
      </w:r>
      <w:r w:rsidRPr="003A65F7">
        <w:rPr>
          <w:rFonts w:eastAsia="Arial"/>
          <w:szCs w:val="24"/>
        </w:rPr>
        <w:t>ng</w:t>
      </w:r>
      <w:r w:rsidRPr="003A65F7">
        <w:rPr>
          <w:rFonts w:eastAsia="Arial"/>
          <w:spacing w:val="30"/>
          <w:szCs w:val="24"/>
        </w:rPr>
        <w:t xml:space="preserve"> </w:t>
      </w:r>
      <w:r w:rsidRPr="003A65F7">
        <w:rPr>
          <w:rFonts w:eastAsia="Arial"/>
          <w:spacing w:val="1"/>
          <w:szCs w:val="24"/>
        </w:rPr>
        <w:t>t</w:t>
      </w:r>
      <w:r w:rsidRPr="003A65F7">
        <w:rPr>
          <w:rFonts w:eastAsia="Arial"/>
          <w:szCs w:val="24"/>
        </w:rPr>
        <w:t>h</w:t>
      </w:r>
      <w:r w:rsidRPr="003A65F7">
        <w:rPr>
          <w:rFonts w:eastAsia="Arial"/>
          <w:spacing w:val="-1"/>
          <w:szCs w:val="24"/>
        </w:rPr>
        <w:t>i</w:t>
      </w:r>
      <w:r w:rsidRPr="003A65F7">
        <w:rPr>
          <w:rFonts w:eastAsia="Arial"/>
          <w:szCs w:val="24"/>
        </w:rPr>
        <w:t>s</w:t>
      </w:r>
      <w:r w:rsidRPr="003A65F7">
        <w:rPr>
          <w:rFonts w:eastAsia="Arial"/>
          <w:spacing w:val="27"/>
          <w:szCs w:val="24"/>
        </w:rPr>
        <w:t xml:space="preserve"> </w:t>
      </w:r>
      <w:r w:rsidRPr="003A65F7">
        <w:rPr>
          <w:rFonts w:eastAsia="Arial"/>
          <w:szCs w:val="24"/>
        </w:rPr>
        <w:t>po</w:t>
      </w:r>
      <w:r w:rsidRPr="003A65F7">
        <w:rPr>
          <w:rFonts w:eastAsia="Arial"/>
          <w:spacing w:val="-1"/>
          <w:szCs w:val="24"/>
        </w:rPr>
        <w:t>li</w:t>
      </w:r>
      <w:r w:rsidRPr="003A65F7">
        <w:rPr>
          <w:rFonts w:eastAsia="Arial"/>
          <w:szCs w:val="24"/>
        </w:rPr>
        <w:t>cy</w:t>
      </w:r>
      <w:r w:rsidRPr="003A65F7">
        <w:rPr>
          <w:rFonts w:eastAsia="Arial"/>
          <w:spacing w:val="28"/>
          <w:szCs w:val="24"/>
        </w:rPr>
        <w:t xml:space="preserve"> </w:t>
      </w:r>
      <w:r w:rsidRPr="003A65F7">
        <w:rPr>
          <w:rFonts w:eastAsia="Arial"/>
          <w:szCs w:val="24"/>
        </w:rPr>
        <w:t>an</w:t>
      </w:r>
      <w:r w:rsidRPr="003A65F7">
        <w:rPr>
          <w:rFonts w:eastAsia="Arial"/>
          <w:spacing w:val="28"/>
          <w:szCs w:val="24"/>
        </w:rPr>
        <w:t xml:space="preserve"> </w:t>
      </w:r>
      <w:r w:rsidR="003A65F7" w:rsidRPr="003A65F7">
        <w:rPr>
          <w:rFonts w:eastAsia="Arial"/>
          <w:spacing w:val="28"/>
          <w:szCs w:val="24"/>
        </w:rPr>
        <w:t>E</w:t>
      </w:r>
      <w:r w:rsidRPr="003A65F7">
        <w:rPr>
          <w:rFonts w:eastAsia="Arial"/>
          <w:spacing w:val="2"/>
          <w:szCs w:val="24"/>
        </w:rPr>
        <w:t>q</w:t>
      </w:r>
      <w:r w:rsidRPr="003A65F7">
        <w:rPr>
          <w:rFonts w:eastAsia="Arial"/>
          <w:szCs w:val="24"/>
        </w:rPr>
        <w:t>ua</w:t>
      </w:r>
      <w:r w:rsidRPr="003A65F7">
        <w:rPr>
          <w:rFonts w:eastAsia="Arial"/>
          <w:spacing w:val="-1"/>
          <w:szCs w:val="24"/>
        </w:rPr>
        <w:t>li</w:t>
      </w:r>
      <w:r w:rsidRPr="003A65F7">
        <w:rPr>
          <w:rFonts w:eastAsia="Arial"/>
          <w:spacing w:val="1"/>
          <w:szCs w:val="24"/>
        </w:rPr>
        <w:t>ty</w:t>
      </w:r>
      <w:r w:rsidRPr="003A65F7">
        <w:rPr>
          <w:rFonts w:eastAsia="Arial"/>
          <w:spacing w:val="27"/>
          <w:szCs w:val="24"/>
        </w:rPr>
        <w:t xml:space="preserve"> I</w:t>
      </w:r>
      <w:r w:rsidRPr="003A65F7">
        <w:rPr>
          <w:rFonts w:eastAsia="Arial"/>
          <w:spacing w:val="1"/>
          <w:szCs w:val="24"/>
        </w:rPr>
        <w:t>m</w:t>
      </w:r>
      <w:r w:rsidRPr="003A65F7">
        <w:rPr>
          <w:rFonts w:eastAsia="Arial"/>
          <w:szCs w:val="24"/>
        </w:rPr>
        <w:t>pact</w:t>
      </w:r>
      <w:r w:rsidRPr="003A65F7">
        <w:rPr>
          <w:rFonts w:eastAsia="Arial"/>
          <w:spacing w:val="28"/>
          <w:szCs w:val="24"/>
        </w:rPr>
        <w:t xml:space="preserve"> A</w:t>
      </w:r>
      <w:r w:rsidRPr="003A65F7">
        <w:rPr>
          <w:rFonts w:eastAsia="Arial"/>
          <w:spacing w:val="-2"/>
          <w:szCs w:val="24"/>
        </w:rPr>
        <w:t>n</w:t>
      </w:r>
      <w:r w:rsidRPr="003A65F7">
        <w:rPr>
          <w:rFonts w:eastAsia="Arial"/>
          <w:szCs w:val="24"/>
        </w:rPr>
        <w:t>a</w:t>
      </w:r>
      <w:r w:rsidRPr="003A65F7">
        <w:rPr>
          <w:rFonts w:eastAsia="Arial"/>
          <w:spacing w:val="-1"/>
          <w:szCs w:val="24"/>
        </w:rPr>
        <w:t>l</w:t>
      </w:r>
      <w:r w:rsidRPr="003A65F7">
        <w:rPr>
          <w:rFonts w:eastAsia="Arial"/>
          <w:spacing w:val="-2"/>
          <w:szCs w:val="24"/>
        </w:rPr>
        <w:t>y</w:t>
      </w:r>
      <w:r w:rsidRPr="003A65F7">
        <w:rPr>
          <w:rFonts w:eastAsia="Arial"/>
          <w:szCs w:val="24"/>
        </w:rPr>
        <w:t>s</w:t>
      </w:r>
      <w:r w:rsidRPr="003A65F7">
        <w:rPr>
          <w:rFonts w:eastAsia="Arial"/>
          <w:spacing w:val="-1"/>
          <w:szCs w:val="24"/>
        </w:rPr>
        <w:t>i</w:t>
      </w:r>
      <w:r w:rsidRPr="003A65F7">
        <w:rPr>
          <w:rFonts w:eastAsia="Arial"/>
          <w:szCs w:val="24"/>
        </w:rPr>
        <w:t>s (EIA)</w:t>
      </w:r>
      <w:r w:rsidRPr="003A65F7">
        <w:rPr>
          <w:rFonts w:eastAsia="Arial"/>
          <w:spacing w:val="28"/>
          <w:szCs w:val="24"/>
        </w:rPr>
        <w:t xml:space="preserve"> </w:t>
      </w:r>
      <w:r w:rsidRPr="003A65F7">
        <w:rPr>
          <w:rFonts w:eastAsia="Arial"/>
          <w:szCs w:val="24"/>
        </w:rPr>
        <w:t>has</w:t>
      </w:r>
      <w:r w:rsidRPr="003A65F7">
        <w:rPr>
          <w:rFonts w:eastAsia="Arial"/>
          <w:spacing w:val="28"/>
          <w:szCs w:val="24"/>
        </w:rPr>
        <w:t xml:space="preserve"> </w:t>
      </w:r>
      <w:r w:rsidRPr="003A65F7">
        <w:rPr>
          <w:rFonts w:eastAsia="Arial"/>
          <w:szCs w:val="24"/>
        </w:rPr>
        <w:t>been</w:t>
      </w:r>
      <w:r w:rsidRPr="003A65F7">
        <w:rPr>
          <w:rFonts w:eastAsia="Arial"/>
          <w:spacing w:val="28"/>
          <w:szCs w:val="24"/>
        </w:rPr>
        <w:t xml:space="preserve"> </w:t>
      </w:r>
      <w:r w:rsidRPr="003A65F7">
        <w:rPr>
          <w:rFonts w:eastAsia="Arial"/>
          <w:szCs w:val="24"/>
        </w:rPr>
        <w:t>unde</w:t>
      </w:r>
      <w:r w:rsidRPr="003A65F7">
        <w:rPr>
          <w:rFonts w:eastAsia="Arial"/>
          <w:spacing w:val="1"/>
          <w:szCs w:val="24"/>
        </w:rPr>
        <w:t>rt</w:t>
      </w:r>
      <w:r w:rsidRPr="003A65F7">
        <w:rPr>
          <w:rFonts w:eastAsia="Arial"/>
          <w:szCs w:val="24"/>
        </w:rPr>
        <w:t>a</w:t>
      </w:r>
      <w:r w:rsidRPr="003A65F7">
        <w:rPr>
          <w:rFonts w:eastAsia="Arial"/>
          <w:spacing w:val="3"/>
          <w:szCs w:val="24"/>
        </w:rPr>
        <w:t>k</w:t>
      </w:r>
      <w:r w:rsidRPr="003A65F7">
        <w:rPr>
          <w:rFonts w:eastAsia="Arial"/>
          <w:szCs w:val="24"/>
        </w:rPr>
        <w:t>e</w:t>
      </w:r>
      <w:r w:rsidRPr="003A65F7">
        <w:rPr>
          <w:rFonts w:eastAsia="Arial"/>
          <w:spacing w:val="-2"/>
          <w:szCs w:val="24"/>
        </w:rPr>
        <w:t>n</w:t>
      </w:r>
      <w:r w:rsidRPr="003A65F7">
        <w:rPr>
          <w:rFonts w:eastAsia="Arial"/>
          <w:szCs w:val="24"/>
        </w:rPr>
        <w:t>.  As a result of the analysis</w:t>
      </w:r>
      <w:r w:rsidR="003A65F7" w:rsidRPr="003A65F7">
        <w:rPr>
          <w:rFonts w:cs="Arial"/>
          <w:szCs w:val="24"/>
        </w:rPr>
        <w:t xml:space="preserve">, the policy, project or function does not appear to have any adverse effects on people who share </w:t>
      </w:r>
      <w:r w:rsidR="003A65F7" w:rsidRPr="003A65F7">
        <w:rPr>
          <w:rFonts w:cs="Arial"/>
          <w:i/>
          <w:szCs w:val="24"/>
        </w:rPr>
        <w:t xml:space="preserve">Protected </w:t>
      </w:r>
      <w:proofErr w:type="gramStart"/>
      <w:r w:rsidR="003A65F7" w:rsidRPr="003A65F7">
        <w:rPr>
          <w:rFonts w:cs="Arial"/>
          <w:i/>
          <w:szCs w:val="24"/>
        </w:rPr>
        <w:t>Characteristics</w:t>
      </w:r>
      <w:proofErr w:type="gramEnd"/>
      <w:r w:rsidR="003A65F7" w:rsidRPr="003A65F7">
        <w:rPr>
          <w:rFonts w:cs="Arial"/>
          <w:i/>
          <w:szCs w:val="24"/>
        </w:rPr>
        <w:t xml:space="preserve"> </w:t>
      </w:r>
      <w:r w:rsidR="003A65F7" w:rsidRPr="003A65F7">
        <w:rPr>
          <w:rFonts w:cs="Arial"/>
          <w:szCs w:val="24"/>
        </w:rPr>
        <w:t>and no further actions are recommended at this stage.</w:t>
      </w:r>
    </w:p>
    <w:p w14:paraId="3281CDA6" w14:textId="3C76E6A9" w:rsidR="0068357A" w:rsidRPr="00867278" w:rsidRDefault="0068357A" w:rsidP="00867278">
      <w:pPr>
        <w:jc w:val="both"/>
      </w:pPr>
      <w:r w:rsidRPr="00867278">
        <w:rPr>
          <w:spacing w:val="-1"/>
        </w:rPr>
        <w:t>NH</w:t>
      </w:r>
      <w:r w:rsidRPr="00867278">
        <w:t>S</w:t>
      </w:r>
      <w:r w:rsidRPr="00867278">
        <w:rPr>
          <w:spacing w:val="-3"/>
        </w:rPr>
        <w:t xml:space="preserve"> </w:t>
      </w:r>
      <w:r w:rsidR="00E763BD">
        <w:rPr>
          <w:spacing w:val="-3"/>
        </w:rPr>
        <w:t>Vale of York</w:t>
      </w:r>
      <w:r w:rsidRPr="00867278">
        <w:rPr>
          <w:spacing w:val="-4"/>
        </w:rPr>
        <w:t xml:space="preserve"> </w:t>
      </w:r>
      <w:r w:rsidRPr="00867278">
        <w:t>CCG</w:t>
      </w:r>
      <w:r w:rsidRPr="00867278">
        <w:rPr>
          <w:spacing w:val="-5"/>
        </w:rPr>
        <w:t xml:space="preserve"> </w:t>
      </w:r>
      <w:r w:rsidRPr="00867278">
        <w:t>aims</w:t>
      </w:r>
      <w:r w:rsidRPr="00867278">
        <w:rPr>
          <w:spacing w:val="-5"/>
        </w:rPr>
        <w:t xml:space="preserve"> </w:t>
      </w:r>
      <w:r w:rsidRPr="00867278">
        <w:rPr>
          <w:spacing w:val="-1"/>
        </w:rPr>
        <w:t>t</w:t>
      </w:r>
      <w:r w:rsidRPr="00867278">
        <w:t>o</w:t>
      </w:r>
      <w:r w:rsidRPr="00867278">
        <w:rPr>
          <w:spacing w:val="-6"/>
        </w:rPr>
        <w:t xml:space="preserve"> </w:t>
      </w:r>
      <w:r w:rsidRPr="00867278">
        <w:t>desi</w:t>
      </w:r>
      <w:r w:rsidRPr="00867278">
        <w:rPr>
          <w:spacing w:val="-1"/>
        </w:rPr>
        <w:t>g</w:t>
      </w:r>
      <w:r w:rsidRPr="00867278">
        <w:t>n</w:t>
      </w:r>
      <w:r w:rsidRPr="00867278">
        <w:rPr>
          <w:spacing w:val="-5"/>
        </w:rPr>
        <w:t xml:space="preserve"> </w:t>
      </w:r>
      <w:r w:rsidRPr="00867278">
        <w:t>and</w:t>
      </w:r>
      <w:r w:rsidRPr="00867278">
        <w:rPr>
          <w:w w:val="99"/>
        </w:rPr>
        <w:t xml:space="preserve"> </w:t>
      </w:r>
      <w:r w:rsidRPr="00867278">
        <w:t>imple</w:t>
      </w:r>
      <w:r w:rsidRPr="00867278">
        <w:rPr>
          <w:spacing w:val="-1"/>
        </w:rPr>
        <w:t>m</w:t>
      </w:r>
      <w:r w:rsidRPr="00867278">
        <w:t>ent</w:t>
      </w:r>
      <w:r w:rsidRPr="00867278">
        <w:rPr>
          <w:spacing w:val="-7"/>
        </w:rPr>
        <w:t xml:space="preserve"> </w:t>
      </w:r>
      <w:r w:rsidRPr="00867278">
        <w:t>s</w:t>
      </w:r>
      <w:r w:rsidRPr="00867278">
        <w:rPr>
          <w:spacing w:val="1"/>
        </w:rPr>
        <w:t>e</w:t>
      </w:r>
      <w:r w:rsidRPr="00867278">
        <w:t>rvices,</w:t>
      </w:r>
      <w:r w:rsidRPr="00867278">
        <w:rPr>
          <w:spacing w:val="-7"/>
        </w:rPr>
        <w:t xml:space="preserve"> </w:t>
      </w:r>
      <w:r w:rsidRPr="00867278">
        <w:t>policies</w:t>
      </w:r>
      <w:r w:rsidRPr="00867278">
        <w:rPr>
          <w:spacing w:val="-6"/>
        </w:rPr>
        <w:t xml:space="preserve"> </w:t>
      </w:r>
      <w:r w:rsidRPr="00867278">
        <w:t>and</w:t>
      </w:r>
      <w:r w:rsidRPr="00867278">
        <w:rPr>
          <w:spacing w:val="-7"/>
        </w:rPr>
        <w:t xml:space="preserve"> </w:t>
      </w:r>
      <w:r w:rsidRPr="00867278">
        <w:t>meas</w:t>
      </w:r>
      <w:r w:rsidRPr="00867278">
        <w:rPr>
          <w:spacing w:val="-1"/>
        </w:rPr>
        <w:t>u</w:t>
      </w:r>
      <w:r w:rsidRPr="00867278">
        <w:t>res</w:t>
      </w:r>
      <w:r w:rsidRPr="00867278">
        <w:rPr>
          <w:spacing w:val="-6"/>
        </w:rPr>
        <w:t xml:space="preserve"> </w:t>
      </w:r>
      <w:r w:rsidRPr="00867278">
        <w:t>that</w:t>
      </w:r>
      <w:r w:rsidRPr="00867278">
        <w:rPr>
          <w:spacing w:val="-7"/>
        </w:rPr>
        <w:t xml:space="preserve"> </w:t>
      </w:r>
      <w:r w:rsidRPr="00867278">
        <w:rPr>
          <w:spacing w:val="-1"/>
        </w:rPr>
        <w:t>m</w:t>
      </w:r>
      <w:r w:rsidRPr="00867278">
        <w:rPr>
          <w:spacing w:val="1"/>
        </w:rPr>
        <w:t>e</w:t>
      </w:r>
      <w:r w:rsidRPr="00867278">
        <w:rPr>
          <w:spacing w:val="-1"/>
        </w:rPr>
        <w:t>e</w:t>
      </w:r>
      <w:r w:rsidRPr="00867278">
        <w:t>t</w:t>
      </w:r>
      <w:r w:rsidRPr="00867278">
        <w:rPr>
          <w:spacing w:val="-6"/>
        </w:rPr>
        <w:t xml:space="preserve"> </w:t>
      </w:r>
      <w:r w:rsidRPr="00867278">
        <w:rPr>
          <w:spacing w:val="-1"/>
        </w:rPr>
        <w:t>th</w:t>
      </w:r>
      <w:r w:rsidRPr="00867278">
        <w:t>e</w:t>
      </w:r>
      <w:r w:rsidRPr="00867278">
        <w:rPr>
          <w:spacing w:val="-6"/>
        </w:rPr>
        <w:t xml:space="preserve"> </w:t>
      </w:r>
      <w:r w:rsidRPr="00867278">
        <w:t>diverse</w:t>
      </w:r>
      <w:r w:rsidRPr="00867278">
        <w:rPr>
          <w:spacing w:val="-6"/>
        </w:rPr>
        <w:t xml:space="preserve"> </w:t>
      </w:r>
      <w:r w:rsidRPr="00867278">
        <w:t>needs</w:t>
      </w:r>
      <w:r w:rsidRPr="00867278">
        <w:rPr>
          <w:spacing w:val="-6"/>
        </w:rPr>
        <w:t xml:space="preserve"> </w:t>
      </w:r>
      <w:r w:rsidRPr="00867278">
        <w:t>of</w:t>
      </w:r>
      <w:r w:rsidRPr="00867278">
        <w:rPr>
          <w:spacing w:val="-7"/>
        </w:rPr>
        <w:t xml:space="preserve"> </w:t>
      </w:r>
      <w:r w:rsidRPr="00867278">
        <w:t>our</w:t>
      </w:r>
      <w:r w:rsidRPr="00867278">
        <w:rPr>
          <w:spacing w:val="-7"/>
        </w:rPr>
        <w:t xml:space="preserve"> </w:t>
      </w:r>
      <w:r w:rsidRPr="00867278">
        <w:rPr>
          <w:spacing w:val="1"/>
        </w:rPr>
        <w:t>s</w:t>
      </w:r>
      <w:r w:rsidRPr="00867278">
        <w:t>erv</w:t>
      </w:r>
      <w:r w:rsidRPr="00867278">
        <w:rPr>
          <w:spacing w:val="-1"/>
        </w:rPr>
        <w:t>ic</w:t>
      </w:r>
      <w:r w:rsidRPr="00867278">
        <w:t>e,</w:t>
      </w:r>
      <w:r w:rsidRPr="00867278">
        <w:rPr>
          <w:w w:val="99"/>
        </w:rPr>
        <w:t xml:space="preserve"> </w:t>
      </w:r>
      <w:r w:rsidRPr="00867278">
        <w:t>population</w:t>
      </w:r>
      <w:r w:rsidRPr="00867278">
        <w:rPr>
          <w:spacing w:val="-7"/>
        </w:rPr>
        <w:t xml:space="preserve"> </w:t>
      </w:r>
      <w:r w:rsidRPr="00867278">
        <w:rPr>
          <w:spacing w:val="1"/>
        </w:rPr>
        <w:t>a</w:t>
      </w:r>
      <w:r w:rsidRPr="00867278">
        <w:rPr>
          <w:spacing w:val="-1"/>
        </w:rPr>
        <w:t>n</w:t>
      </w:r>
      <w:r w:rsidRPr="00867278">
        <w:t>d</w:t>
      </w:r>
      <w:r w:rsidRPr="00867278">
        <w:rPr>
          <w:spacing w:val="-7"/>
        </w:rPr>
        <w:t xml:space="preserve"> </w:t>
      </w:r>
      <w:r w:rsidRPr="00867278">
        <w:t>workforce,</w:t>
      </w:r>
      <w:r w:rsidRPr="00867278">
        <w:rPr>
          <w:spacing w:val="-7"/>
        </w:rPr>
        <w:t xml:space="preserve"> </w:t>
      </w:r>
      <w:r w:rsidRPr="00867278">
        <w:t>ensuring</w:t>
      </w:r>
      <w:r w:rsidRPr="00867278">
        <w:rPr>
          <w:spacing w:val="-7"/>
        </w:rPr>
        <w:t xml:space="preserve"> </w:t>
      </w:r>
      <w:r w:rsidRPr="00867278">
        <w:t>that</w:t>
      </w:r>
      <w:r w:rsidRPr="00867278">
        <w:rPr>
          <w:spacing w:val="-7"/>
        </w:rPr>
        <w:t xml:space="preserve"> </w:t>
      </w:r>
      <w:r w:rsidRPr="00867278">
        <w:t>none</w:t>
      </w:r>
      <w:r w:rsidRPr="00867278">
        <w:rPr>
          <w:spacing w:val="-6"/>
        </w:rPr>
        <w:t xml:space="preserve"> </w:t>
      </w:r>
      <w:r w:rsidRPr="00867278">
        <w:t>are</w:t>
      </w:r>
      <w:r w:rsidRPr="00867278">
        <w:rPr>
          <w:spacing w:val="-6"/>
        </w:rPr>
        <w:t xml:space="preserve"> </w:t>
      </w:r>
      <w:r w:rsidRPr="00867278">
        <w:rPr>
          <w:spacing w:val="-1"/>
        </w:rPr>
        <w:t>p</w:t>
      </w:r>
      <w:r w:rsidRPr="00867278">
        <w:rPr>
          <w:spacing w:val="1"/>
        </w:rPr>
        <w:t>l</w:t>
      </w:r>
      <w:r w:rsidRPr="00867278">
        <w:rPr>
          <w:spacing w:val="-1"/>
        </w:rPr>
        <w:t>ace</w:t>
      </w:r>
      <w:r w:rsidRPr="00867278">
        <w:t>d</w:t>
      </w:r>
      <w:r w:rsidRPr="00867278">
        <w:rPr>
          <w:spacing w:val="-7"/>
        </w:rPr>
        <w:t xml:space="preserve"> </w:t>
      </w:r>
      <w:r w:rsidRPr="00867278">
        <w:rPr>
          <w:spacing w:val="1"/>
        </w:rPr>
        <w:t>a</w:t>
      </w:r>
      <w:r w:rsidRPr="00867278">
        <w:t>t</w:t>
      </w:r>
      <w:r w:rsidRPr="00867278">
        <w:rPr>
          <w:spacing w:val="-7"/>
        </w:rPr>
        <w:t xml:space="preserve"> </w:t>
      </w:r>
      <w:r w:rsidRPr="00867278">
        <w:t>a</w:t>
      </w:r>
      <w:r w:rsidRPr="00867278">
        <w:rPr>
          <w:spacing w:val="-5"/>
        </w:rPr>
        <w:t xml:space="preserve"> </w:t>
      </w:r>
      <w:r w:rsidRPr="00867278">
        <w:t>disadvantage</w:t>
      </w:r>
      <w:r w:rsidRPr="00867278">
        <w:rPr>
          <w:spacing w:val="-7"/>
        </w:rPr>
        <w:t xml:space="preserve"> </w:t>
      </w:r>
      <w:r w:rsidRPr="00867278">
        <w:t>over</w:t>
      </w:r>
      <w:r w:rsidRPr="00867278">
        <w:rPr>
          <w:spacing w:val="-7"/>
        </w:rPr>
        <w:t xml:space="preserve"> </w:t>
      </w:r>
      <w:r w:rsidRPr="00867278">
        <w:t>others.</w:t>
      </w:r>
    </w:p>
    <w:p w14:paraId="38BB31F2" w14:textId="77777777" w:rsidR="0068357A" w:rsidRPr="007E18CD" w:rsidRDefault="0068357A" w:rsidP="00033AC0">
      <w:pPr>
        <w:pStyle w:val="Heading1"/>
      </w:pPr>
      <w:bookmarkStart w:id="21" w:name="_Toc54273968"/>
      <w:bookmarkStart w:id="22" w:name="_Toc58498349"/>
      <w:r w:rsidRPr="007E18CD">
        <w:t>Consultation</w:t>
      </w:r>
      <w:bookmarkEnd w:id="21"/>
      <w:bookmarkEnd w:id="22"/>
    </w:p>
    <w:p w14:paraId="0077E630" w14:textId="77777777" w:rsidR="008B55DB" w:rsidRPr="00226979" w:rsidRDefault="008B55DB" w:rsidP="008B55DB">
      <w:bookmarkStart w:id="23" w:name="_Toc54273969"/>
      <w:r w:rsidRPr="00226979">
        <w:t xml:space="preserve">This </w:t>
      </w:r>
      <w:r>
        <w:t>Policy has been reviewed by Information Governance Steering Group prior to approval by the Audit Committee.</w:t>
      </w:r>
    </w:p>
    <w:p w14:paraId="12C667AD" w14:textId="77777777" w:rsidR="0068357A" w:rsidRPr="007E18CD" w:rsidRDefault="0068357A" w:rsidP="00033AC0">
      <w:pPr>
        <w:pStyle w:val="Heading1"/>
      </w:pPr>
      <w:bookmarkStart w:id="24" w:name="_Toc58498350"/>
      <w:r w:rsidRPr="007E18CD">
        <w:t>Training</w:t>
      </w:r>
      <w:bookmarkEnd w:id="23"/>
      <w:bookmarkEnd w:id="24"/>
    </w:p>
    <w:p w14:paraId="60842014" w14:textId="6A9D9EE3" w:rsidR="0050360F" w:rsidRPr="007E18CD" w:rsidRDefault="0050360F" w:rsidP="0050360F">
      <w:pPr>
        <w:spacing w:after="0" w:line="240" w:lineRule="auto"/>
        <w:ind w:left="720"/>
        <w:jc w:val="both"/>
        <w:rPr>
          <w:color w:val="FF0000"/>
        </w:rPr>
      </w:pPr>
      <w:r>
        <w:rPr>
          <w:rFonts w:cs="Arial"/>
          <w:lang w:eastAsia="en-GB"/>
        </w:rPr>
        <w:t>Staff are required to complete their statutory and mandatory information governance training on an annual basis</w:t>
      </w:r>
      <w:r w:rsidR="00E763BD">
        <w:rPr>
          <w:rFonts w:cs="Arial"/>
          <w:lang w:eastAsia="en-GB"/>
        </w:rPr>
        <w:t xml:space="preserve"> and within one week of commencement of employment</w:t>
      </w:r>
      <w:r>
        <w:rPr>
          <w:rFonts w:cs="Arial"/>
          <w:lang w:eastAsia="en-GB"/>
        </w:rPr>
        <w:t xml:space="preserve">. </w:t>
      </w:r>
      <w:r w:rsidR="00E763BD">
        <w:rPr>
          <w:rFonts w:cs="Arial"/>
          <w:lang w:eastAsia="en-GB"/>
        </w:rPr>
        <w:t xml:space="preserve">This also applies to non-permanent staff. </w:t>
      </w:r>
      <w:r>
        <w:rPr>
          <w:rFonts w:cs="Arial"/>
          <w:lang w:eastAsia="en-GB"/>
        </w:rPr>
        <w:t>Further specific training may be required in line with job roles delegated to staff.</w:t>
      </w:r>
    </w:p>
    <w:p w14:paraId="47CF8881" w14:textId="77777777" w:rsidR="0068357A" w:rsidRPr="007E18CD" w:rsidRDefault="0068357A" w:rsidP="00033AC0">
      <w:pPr>
        <w:pStyle w:val="Heading1"/>
      </w:pPr>
      <w:bookmarkStart w:id="25" w:name="_Toc54273970"/>
      <w:bookmarkStart w:id="26" w:name="_Toc58498351"/>
      <w:r w:rsidRPr="007E18CD">
        <w:t>Mon</w:t>
      </w:r>
      <w:r w:rsidRPr="007E18CD">
        <w:rPr>
          <w:spacing w:val="1"/>
        </w:rPr>
        <w:t>i</w:t>
      </w:r>
      <w:r w:rsidRPr="007E18CD">
        <w:t>tor</w:t>
      </w:r>
      <w:r w:rsidRPr="007E18CD">
        <w:rPr>
          <w:spacing w:val="1"/>
        </w:rPr>
        <w:t>i</w:t>
      </w:r>
      <w:r w:rsidRPr="007E18CD">
        <w:t>ng</w:t>
      </w:r>
      <w:r w:rsidRPr="007E18CD">
        <w:rPr>
          <w:spacing w:val="-11"/>
        </w:rPr>
        <w:t xml:space="preserve"> </w:t>
      </w:r>
      <w:r w:rsidRPr="007E18CD">
        <w:t>Compl</w:t>
      </w:r>
      <w:r w:rsidRPr="007E18CD">
        <w:rPr>
          <w:spacing w:val="1"/>
        </w:rPr>
        <w:t>i</w:t>
      </w:r>
      <w:r w:rsidRPr="007E18CD">
        <w:t>ance</w:t>
      </w:r>
      <w:r w:rsidRPr="007E18CD">
        <w:rPr>
          <w:spacing w:val="-9"/>
        </w:rPr>
        <w:t xml:space="preserve"> </w:t>
      </w:r>
      <w:r w:rsidRPr="007E18CD">
        <w:t>w</w:t>
      </w:r>
      <w:r w:rsidRPr="007E18CD">
        <w:rPr>
          <w:spacing w:val="1"/>
        </w:rPr>
        <w:t>i</w:t>
      </w:r>
      <w:r w:rsidRPr="007E18CD">
        <w:t>th</w:t>
      </w:r>
      <w:r w:rsidRPr="007E18CD">
        <w:rPr>
          <w:spacing w:val="-10"/>
        </w:rPr>
        <w:t xml:space="preserve"> </w:t>
      </w:r>
      <w:r w:rsidRPr="007E18CD">
        <w:t>t</w:t>
      </w:r>
      <w:r w:rsidRPr="007E18CD">
        <w:rPr>
          <w:spacing w:val="1"/>
        </w:rPr>
        <w:t>h</w:t>
      </w:r>
      <w:r w:rsidRPr="007E18CD">
        <w:t>e</w:t>
      </w:r>
      <w:r w:rsidRPr="007E18CD">
        <w:rPr>
          <w:spacing w:val="-9"/>
        </w:rPr>
        <w:t xml:space="preserve"> </w:t>
      </w:r>
      <w:r w:rsidRPr="007E18CD">
        <w:t>Document</w:t>
      </w:r>
      <w:bookmarkEnd w:id="25"/>
      <w:bookmarkEnd w:id="26"/>
    </w:p>
    <w:p w14:paraId="7FB487F0" w14:textId="77777777" w:rsidR="0068357A" w:rsidRPr="007E18CD" w:rsidRDefault="0038348C" w:rsidP="0038348C">
      <w:pPr>
        <w:jc w:val="both"/>
        <w:rPr>
          <w:color w:val="FF0000"/>
        </w:rPr>
      </w:pPr>
      <w:r w:rsidRPr="0038348C">
        <w:rPr>
          <w:spacing w:val="-1"/>
        </w:rPr>
        <w:t xml:space="preserve">The CCG will monitor compliance to this policy through a process of audits and the compliance </w:t>
      </w:r>
      <w:proofErr w:type="gramStart"/>
      <w:r w:rsidRPr="0038348C">
        <w:rPr>
          <w:spacing w:val="-1"/>
        </w:rPr>
        <w:t>safe haven</w:t>
      </w:r>
      <w:proofErr w:type="gramEnd"/>
      <w:r w:rsidRPr="0038348C">
        <w:rPr>
          <w:spacing w:val="-1"/>
        </w:rPr>
        <w:t xml:space="preserve"> checklists as required under the Data Protection and Confidentiality Policy</w:t>
      </w:r>
      <w:r w:rsidR="0068357A" w:rsidRPr="007E18CD">
        <w:rPr>
          <w:color w:val="FF0000"/>
        </w:rPr>
        <w:t>:</w:t>
      </w:r>
    </w:p>
    <w:p w14:paraId="4BD0028A" w14:textId="77777777" w:rsidR="0068357A" w:rsidRPr="007E18CD" w:rsidRDefault="0068357A" w:rsidP="00033AC0">
      <w:pPr>
        <w:pStyle w:val="Heading1"/>
      </w:pPr>
      <w:bookmarkStart w:id="27" w:name="_Toc54273971"/>
      <w:bookmarkStart w:id="28" w:name="_Toc58498352"/>
      <w:r w:rsidRPr="007E18CD">
        <w:lastRenderedPageBreak/>
        <w:t>Arran</w:t>
      </w:r>
      <w:r w:rsidRPr="00FE648F">
        <w:rPr>
          <w:spacing w:val="1"/>
        </w:rPr>
        <w:t>g</w:t>
      </w:r>
      <w:r w:rsidRPr="007E18CD">
        <w:t>ements</w:t>
      </w:r>
      <w:r w:rsidRPr="00FE648F">
        <w:rPr>
          <w:spacing w:val="-13"/>
        </w:rPr>
        <w:t xml:space="preserve"> </w:t>
      </w:r>
      <w:r w:rsidRPr="00FE648F">
        <w:rPr>
          <w:spacing w:val="-1"/>
        </w:rPr>
        <w:t>fo</w:t>
      </w:r>
      <w:r w:rsidRPr="007E18CD">
        <w:t>r</w:t>
      </w:r>
      <w:r w:rsidRPr="00FE648F">
        <w:rPr>
          <w:spacing w:val="-11"/>
        </w:rPr>
        <w:t xml:space="preserve"> </w:t>
      </w:r>
      <w:r w:rsidRPr="007E18CD">
        <w:t>Review</w:t>
      </w:r>
      <w:bookmarkEnd w:id="27"/>
      <w:bookmarkEnd w:id="28"/>
    </w:p>
    <w:p w14:paraId="05FE47D2" w14:textId="77777777" w:rsidR="0038348C" w:rsidRPr="00C44054" w:rsidRDefault="0038348C" w:rsidP="0038348C">
      <w:pPr>
        <w:pStyle w:val="Default0"/>
        <w:ind w:left="720"/>
        <w:rPr>
          <w:color w:val="auto"/>
        </w:rPr>
      </w:pPr>
      <w:r w:rsidRPr="00C44054">
        <w:rPr>
          <w:color w:val="auto"/>
        </w:rPr>
        <w:t xml:space="preserve">This policy will be reviewed </w:t>
      </w:r>
      <w:r>
        <w:rPr>
          <w:color w:val="auto"/>
        </w:rPr>
        <w:t>every t</w:t>
      </w:r>
      <w:r w:rsidR="00402E42">
        <w:rPr>
          <w:color w:val="auto"/>
        </w:rPr>
        <w:t>hree</w:t>
      </w:r>
      <w:r>
        <w:rPr>
          <w:color w:val="auto"/>
        </w:rPr>
        <w:t xml:space="preserve"> years</w:t>
      </w:r>
      <w:r w:rsidRPr="00C44054">
        <w:rPr>
          <w:color w:val="auto"/>
        </w:rPr>
        <w:t xml:space="preserve"> and in accordance with the following on an as and when required basis: </w:t>
      </w:r>
    </w:p>
    <w:p w14:paraId="0715F50C" w14:textId="77777777" w:rsidR="0038348C" w:rsidRPr="00C44054" w:rsidRDefault="0038348C" w:rsidP="0038348C">
      <w:pPr>
        <w:pStyle w:val="Bullet1"/>
        <w:ind w:left="1069" w:hanging="360"/>
        <w:rPr>
          <w:rFonts w:cs="Arial"/>
          <w:szCs w:val="24"/>
        </w:rPr>
      </w:pPr>
      <w:r w:rsidRPr="00C44054">
        <w:rPr>
          <w:rFonts w:cs="Arial"/>
          <w:szCs w:val="24"/>
        </w:rPr>
        <w:t xml:space="preserve">legislative </w:t>
      </w:r>
      <w:proofErr w:type="gramStart"/>
      <w:r w:rsidRPr="00C44054">
        <w:rPr>
          <w:rFonts w:cs="Arial"/>
          <w:szCs w:val="24"/>
        </w:rPr>
        <w:t>changes;</w:t>
      </w:r>
      <w:proofErr w:type="gramEnd"/>
      <w:r w:rsidRPr="00C44054">
        <w:rPr>
          <w:rFonts w:cs="Arial"/>
          <w:szCs w:val="24"/>
        </w:rPr>
        <w:t xml:space="preserve"> </w:t>
      </w:r>
    </w:p>
    <w:p w14:paraId="706671D9" w14:textId="77777777" w:rsidR="0038348C" w:rsidRPr="00C44054" w:rsidRDefault="0038348C" w:rsidP="0038348C">
      <w:pPr>
        <w:pStyle w:val="Bullet1"/>
        <w:ind w:left="1069" w:hanging="360"/>
        <w:rPr>
          <w:rFonts w:cs="Arial"/>
          <w:szCs w:val="24"/>
        </w:rPr>
      </w:pPr>
      <w:r w:rsidRPr="00C44054">
        <w:rPr>
          <w:rFonts w:cs="Arial"/>
          <w:szCs w:val="24"/>
        </w:rPr>
        <w:t xml:space="preserve">good practice </w:t>
      </w:r>
      <w:proofErr w:type="gramStart"/>
      <w:r w:rsidRPr="00C44054">
        <w:rPr>
          <w:rFonts w:cs="Arial"/>
          <w:szCs w:val="24"/>
        </w:rPr>
        <w:t>guidance;</w:t>
      </w:r>
      <w:proofErr w:type="gramEnd"/>
      <w:r w:rsidRPr="00C44054">
        <w:rPr>
          <w:rFonts w:cs="Arial"/>
          <w:szCs w:val="24"/>
        </w:rPr>
        <w:t xml:space="preserve"> </w:t>
      </w:r>
    </w:p>
    <w:p w14:paraId="252A7D48" w14:textId="77777777" w:rsidR="0038348C" w:rsidRPr="00C44054" w:rsidRDefault="0038348C" w:rsidP="0038348C">
      <w:pPr>
        <w:pStyle w:val="Bullet1"/>
        <w:ind w:left="1069" w:hanging="360"/>
        <w:rPr>
          <w:rFonts w:cs="Arial"/>
          <w:szCs w:val="24"/>
        </w:rPr>
      </w:pPr>
      <w:r w:rsidRPr="00C44054">
        <w:rPr>
          <w:rFonts w:cs="Arial"/>
          <w:szCs w:val="24"/>
        </w:rPr>
        <w:t xml:space="preserve">case </w:t>
      </w:r>
      <w:proofErr w:type="gramStart"/>
      <w:r w:rsidRPr="00C44054">
        <w:rPr>
          <w:rFonts w:cs="Arial"/>
          <w:szCs w:val="24"/>
        </w:rPr>
        <w:t>law;</w:t>
      </w:r>
      <w:proofErr w:type="gramEnd"/>
      <w:r w:rsidRPr="00C44054">
        <w:rPr>
          <w:rFonts w:cs="Arial"/>
          <w:szCs w:val="24"/>
        </w:rPr>
        <w:t xml:space="preserve"> </w:t>
      </w:r>
    </w:p>
    <w:p w14:paraId="6A14F8EA" w14:textId="77777777" w:rsidR="0038348C" w:rsidRPr="00C44054" w:rsidRDefault="0038348C" w:rsidP="0038348C">
      <w:pPr>
        <w:pStyle w:val="Bullet1"/>
        <w:ind w:left="1069" w:hanging="360"/>
        <w:rPr>
          <w:rFonts w:cs="Arial"/>
          <w:szCs w:val="24"/>
        </w:rPr>
      </w:pPr>
      <w:r w:rsidRPr="00C44054">
        <w:rPr>
          <w:rFonts w:cs="Arial"/>
          <w:szCs w:val="24"/>
        </w:rPr>
        <w:t xml:space="preserve">significant incidents </w:t>
      </w:r>
      <w:proofErr w:type="gramStart"/>
      <w:r w:rsidRPr="00C44054">
        <w:rPr>
          <w:rFonts w:cs="Arial"/>
          <w:szCs w:val="24"/>
        </w:rPr>
        <w:t>reported;</w:t>
      </w:r>
      <w:proofErr w:type="gramEnd"/>
      <w:r w:rsidRPr="00C44054">
        <w:rPr>
          <w:rFonts w:cs="Arial"/>
          <w:szCs w:val="24"/>
        </w:rPr>
        <w:t xml:space="preserve"> </w:t>
      </w:r>
    </w:p>
    <w:p w14:paraId="419E06F8" w14:textId="77777777" w:rsidR="0038348C" w:rsidRPr="00C44054" w:rsidRDefault="0038348C" w:rsidP="0038348C">
      <w:pPr>
        <w:pStyle w:val="Bullet1"/>
        <w:ind w:left="1069" w:hanging="360"/>
        <w:rPr>
          <w:rFonts w:cs="Arial"/>
          <w:szCs w:val="24"/>
        </w:rPr>
      </w:pPr>
      <w:r w:rsidRPr="00C44054">
        <w:rPr>
          <w:rFonts w:cs="Arial"/>
          <w:szCs w:val="24"/>
        </w:rPr>
        <w:t xml:space="preserve">new vulnerabilities; and </w:t>
      </w:r>
    </w:p>
    <w:p w14:paraId="667E2964" w14:textId="77777777" w:rsidR="0038348C" w:rsidRPr="00C44054" w:rsidRDefault="0038348C" w:rsidP="0038348C">
      <w:pPr>
        <w:pStyle w:val="Bullet1"/>
        <w:ind w:left="1069" w:hanging="360"/>
        <w:rPr>
          <w:rFonts w:cs="Arial"/>
          <w:color w:val="FF0000"/>
          <w:szCs w:val="24"/>
        </w:rPr>
      </w:pPr>
      <w:r w:rsidRPr="00C44054">
        <w:rPr>
          <w:rFonts w:cs="Arial"/>
          <w:szCs w:val="24"/>
        </w:rPr>
        <w:t>changes to organisational infrastructure.</w:t>
      </w:r>
    </w:p>
    <w:p w14:paraId="1106BE3E" w14:textId="77777777" w:rsidR="0068357A" w:rsidRPr="007E18CD" w:rsidRDefault="0068357A" w:rsidP="00033AC0">
      <w:pPr>
        <w:pStyle w:val="Heading1"/>
      </w:pPr>
      <w:bookmarkStart w:id="29" w:name="_Toc54273972"/>
      <w:bookmarkStart w:id="30" w:name="_Toc58498353"/>
      <w:r w:rsidRPr="007E18CD">
        <w:t>Dissem</w:t>
      </w:r>
      <w:r w:rsidRPr="007E18CD">
        <w:rPr>
          <w:spacing w:val="1"/>
        </w:rPr>
        <w:t>i</w:t>
      </w:r>
      <w:r w:rsidRPr="007E18CD">
        <w:t>nation</w:t>
      </w:r>
      <w:bookmarkEnd w:id="29"/>
      <w:bookmarkEnd w:id="30"/>
    </w:p>
    <w:p w14:paraId="4ABD0CFE" w14:textId="77777777" w:rsidR="00815880" w:rsidRPr="007E18CD" w:rsidRDefault="00815880" w:rsidP="00815880">
      <w:pPr>
        <w:rPr>
          <w:rFonts w:cs="Arial"/>
          <w:color w:val="FF0000"/>
          <w:spacing w:val="-1"/>
          <w:szCs w:val="24"/>
        </w:rPr>
      </w:pPr>
      <w:r w:rsidRPr="00226979">
        <w:rPr>
          <w:rFonts w:cs="Arial"/>
          <w:lang w:eastAsia="en-GB"/>
        </w:rPr>
        <w:t>Staff will be made aware of the policy via the Intranet</w:t>
      </w:r>
      <w:r>
        <w:rPr>
          <w:rFonts w:cs="Arial"/>
          <w:lang w:eastAsia="en-GB"/>
        </w:rPr>
        <w:t>. Awareness of reviewed and amended policies will be through the CCG staff newsletter.</w:t>
      </w:r>
    </w:p>
    <w:p w14:paraId="51A83627" w14:textId="77777777" w:rsidR="007E18CD" w:rsidRPr="007E18CD" w:rsidRDefault="007E18CD" w:rsidP="00033AC0">
      <w:pPr>
        <w:pStyle w:val="Heading1"/>
      </w:pPr>
      <w:r w:rsidRPr="007E18CD">
        <w:tab/>
      </w:r>
      <w:bookmarkStart w:id="31" w:name="_Toc54273973"/>
      <w:bookmarkStart w:id="32" w:name="_Toc58498354"/>
      <w:r w:rsidRPr="007E18CD">
        <w:t>Associated</w:t>
      </w:r>
      <w:r w:rsidRPr="007E18CD">
        <w:rPr>
          <w:spacing w:val="-25"/>
        </w:rPr>
        <w:t xml:space="preserve"> </w:t>
      </w:r>
      <w:r w:rsidRPr="007E18CD">
        <w:t>D</w:t>
      </w:r>
      <w:r w:rsidRPr="007E18CD">
        <w:rPr>
          <w:spacing w:val="-1"/>
        </w:rPr>
        <w:t>o</w:t>
      </w:r>
      <w:r w:rsidRPr="007E18CD">
        <w:t>cumen</w:t>
      </w:r>
      <w:r w:rsidRPr="007E18CD">
        <w:rPr>
          <w:spacing w:val="-1"/>
        </w:rPr>
        <w:t>t</w:t>
      </w:r>
      <w:r w:rsidRPr="007E18CD">
        <w:t>a</w:t>
      </w:r>
      <w:r w:rsidRPr="007E18CD">
        <w:rPr>
          <w:spacing w:val="-1"/>
        </w:rPr>
        <w:t>t</w:t>
      </w:r>
      <w:r w:rsidRPr="007E18CD">
        <w:t>ion</w:t>
      </w:r>
      <w:bookmarkEnd w:id="31"/>
      <w:bookmarkEnd w:id="32"/>
    </w:p>
    <w:p w14:paraId="3D3253C1" w14:textId="77777777" w:rsidR="00815880" w:rsidRDefault="00815880" w:rsidP="00815880">
      <w:pPr>
        <w:pStyle w:val="ListParagraph"/>
        <w:numPr>
          <w:ilvl w:val="0"/>
          <w:numId w:val="21"/>
        </w:numPr>
      </w:pPr>
      <w:r>
        <w:t>Information Governance Framework and Strategy.</w:t>
      </w:r>
    </w:p>
    <w:p w14:paraId="4EC3E7EE" w14:textId="77777777" w:rsidR="00815880" w:rsidRDefault="00815880" w:rsidP="00815880">
      <w:pPr>
        <w:pStyle w:val="ListParagraph"/>
        <w:numPr>
          <w:ilvl w:val="0"/>
          <w:numId w:val="21"/>
        </w:numPr>
      </w:pPr>
      <w:r>
        <w:t>Data Protection and Confidentiality Policy.</w:t>
      </w:r>
    </w:p>
    <w:p w14:paraId="4CA586FA" w14:textId="77777777" w:rsidR="00483CA6" w:rsidRDefault="00483CA6" w:rsidP="00815880">
      <w:pPr>
        <w:pStyle w:val="ListParagraph"/>
        <w:numPr>
          <w:ilvl w:val="0"/>
          <w:numId w:val="21"/>
        </w:numPr>
      </w:pPr>
      <w:r>
        <w:t xml:space="preserve">Working </w:t>
      </w:r>
      <w:proofErr w:type="gramStart"/>
      <w:r>
        <w:t>From</w:t>
      </w:r>
      <w:proofErr w:type="gramEnd"/>
      <w:r>
        <w:t xml:space="preserve"> Home Guidance.</w:t>
      </w:r>
    </w:p>
    <w:p w14:paraId="053805C8" w14:textId="77777777" w:rsidR="00815880" w:rsidRDefault="00815880" w:rsidP="00815880">
      <w:pPr>
        <w:pStyle w:val="ListParagraph"/>
        <w:numPr>
          <w:ilvl w:val="0"/>
          <w:numId w:val="21"/>
        </w:numPr>
      </w:pPr>
      <w:r w:rsidRPr="00812553">
        <w:t xml:space="preserve">the Department of Health Publication: Confidentiality: NHS Code of Practice November </w:t>
      </w:r>
      <w:proofErr w:type="gramStart"/>
      <w:r w:rsidRPr="00812553">
        <w:t>2003;</w:t>
      </w:r>
      <w:proofErr w:type="gramEnd"/>
      <w:r w:rsidRPr="00812553">
        <w:t xml:space="preserve"> </w:t>
      </w:r>
    </w:p>
    <w:p w14:paraId="51427EC8" w14:textId="77777777" w:rsidR="00815880" w:rsidRPr="00815880" w:rsidRDefault="00815880" w:rsidP="00815880">
      <w:pPr>
        <w:pStyle w:val="ListParagraph"/>
        <w:numPr>
          <w:ilvl w:val="0"/>
          <w:numId w:val="21"/>
        </w:numPr>
      </w:pPr>
      <w:r w:rsidRPr="00815880">
        <w:rPr>
          <w:rFonts w:cs="Arial"/>
          <w:szCs w:val="24"/>
        </w:rPr>
        <w:t>the Department of Health Publication Confidentiality: NHS Code of Practice – Supplementary Guidance: Public Interest Disclosures November 2010.</w:t>
      </w:r>
    </w:p>
    <w:p w14:paraId="7F06902D" w14:textId="77777777" w:rsidR="00815880" w:rsidRPr="00812553" w:rsidRDefault="00815880" w:rsidP="00815880">
      <w:pPr>
        <w:pStyle w:val="ListParagraph"/>
        <w:numPr>
          <w:ilvl w:val="0"/>
          <w:numId w:val="21"/>
        </w:numPr>
      </w:pPr>
      <w:r w:rsidRPr="00812553">
        <w:t>HSCIC: Code of Pract</w:t>
      </w:r>
      <w:r>
        <w:t>ice on confidential information.</w:t>
      </w:r>
    </w:p>
    <w:p w14:paraId="39D6002A" w14:textId="77777777" w:rsidR="00815880" w:rsidRDefault="00815880" w:rsidP="00815880">
      <w:pPr>
        <w:pStyle w:val="ListParagraph"/>
        <w:numPr>
          <w:ilvl w:val="0"/>
          <w:numId w:val="21"/>
        </w:numPr>
      </w:pPr>
      <w:r w:rsidRPr="00812553">
        <w:t>HSCIC:  A guide to confidentiality in health and social care</w:t>
      </w:r>
      <w:r>
        <w:t>.</w:t>
      </w:r>
    </w:p>
    <w:p w14:paraId="61D121CC" w14:textId="77777777" w:rsidR="007E18CD" w:rsidRPr="007E18CD" w:rsidRDefault="007E18CD" w:rsidP="00033AC0">
      <w:pPr>
        <w:pStyle w:val="Heading1"/>
      </w:pPr>
      <w:r w:rsidRPr="007E18CD">
        <w:tab/>
      </w:r>
      <w:bookmarkStart w:id="33" w:name="_Toc54273974"/>
      <w:bookmarkStart w:id="34" w:name="_Toc58498355"/>
      <w:r w:rsidRPr="007E18CD">
        <w:t>References</w:t>
      </w:r>
      <w:bookmarkEnd w:id="33"/>
      <w:bookmarkEnd w:id="34"/>
    </w:p>
    <w:p w14:paraId="2F0A8772" w14:textId="77777777" w:rsidR="00815880" w:rsidRDefault="00815880" w:rsidP="00815880">
      <w:pPr>
        <w:pStyle w:val="Default0"/>
        <w:ind w:left="709"/>
        <w:rPr>
          <w:color w:val="auto"/>
        </w:rPr>
      </w:pPr>
      <w:r w:rsidRPr="00812553">
        <w:rPr>
          <w:color w:val="auto"/>
        </w:rPr>
        <w:t>Th</w:t>
      </w:r>
      <w:r>
        <w:rPr>
          <w:color w:val="auto"/>
        </w:rPr>
        <w:t>is policy was developed in line with the following</w:t>
      </w:r>
      <w:r w:rsidRPr="00812553">
        <w:rPr>
          <w:color w:val="auto"/>
        </w:rPr>
        <w:t xml:space="preserve"> </w:t>
      </w:r>
      <w:r>
        <w:rPr>
          <w:color w:val="auto"/>
        </w:rPr>
        <w:t>practices and legislation:</w:t>
      </w:r>
    </w:p>
    <w:p w14:paraId="41FAEF50" w14:textId="77777777" w:rsidR="00815880" w:rsidRPr="00812553" w:rsidRDefault="00815880" w:rsidP="00815880">
      <w:pPr>
        <w:pStyle w:val="Default0"/>
        <w:ind w:left="709"/>
        <w:rPr>
          <w:color w:val="auto"/>
        </w:rPr>
      </w:pPr>
    </w:p>
    <w:p w14:paraId="52BBB42A" w14:textId="77777777" w:rsidR="00815880" w:rsidRDefault="00815880" w:rsidP="00815880">
      <w:pPr>
        <w:pStyle w:val="Default0"/>
        <w:numPr>
          <w:ilvl w:val="0"/>
          <w:numId w:val="24"/>
        </w:numPr>
        <w:spacing w:after="20"/>
        <w:rPr>
          <w:color w:val="auto"/>
        </w:rPr>
      </w:pPr>
      <w:r w:rsidRPr="00812553">
        <w:rPr>
          <w:color w:val="auto"/>
        </w:rPr>
        <w:t xml:space="preserve">Data Protection Act </w:t>
      </w:r>
      <w:proofErr w:type="gramStart"/>
      <w:r w:rsidRPr="00812553">
        <w:rPr>
          <w:color w:val="auto"/>
        </w:rPr>
        <w:t>2018</w:t>
      </w:r>
      <w:r>
        <w:rPr>
          <w:color w:val="auto"/>
        </w:rPr>
        <w:t>;</w:t>
      </w:r>
      <w:proofErr w:type="gramEnd"/>
    </w:p>
    <w:p w14:paraId="05FBA2E0" w14:textId="77777777" w:rsidR="00815880" w:rsidRPr="00D67D48" w:rsidRDefault="00815880" w:rsidP="00815880">
      <w:pPr>
        <w:pStyle w:val="Default0"/>
        <w:numPr>
          <w:ilvl w:val="0"/>
          <w:numId w:val="24"/>
        </w:numPr>
        <w:spacing w:after="20"/>
        <w:rPr>
          <w:color w:val="auto"/>
        </w:rPr>
      </w:pPr>
      <w:r w:rsidRPr="00812553">
        <w:rPr>
          <w:color w:val="auto"/>
        </w:rPr>
        <w:t xml:space="preserve">Human Rights Act </w:t>
      </w:r>
      <w:proofErr w:type="gramStart"/>
      <w:r w:rsidRPr="00812553">
        <w:rPr>
          <w:color w:val="auto"/>
        </w:rPr>
        <w:t>1998;</w:t>
      </w:r>
      <w:proofErr w:type="gramEnd"/>
      <w:r w:rsidRPr="00812553">
        <w:rPr>
          <w:color w:val="auto"/>
        </w:rPr>
        <w:t xml:space="preserve"> </w:t>
      </w:r>
    </w:p>
    <w:p w14:paraId="21A42945" w14:textId="77777777" w:rsidR="00815880" w:rsidRPr="00812553" w:rsidRDefault="00815880" w:rsidP="00815880">
      <w:pPr>
        <w:pStyle w:val="Default0"/>
        <w:numPr>
          <w:ilvl w:val="0"/>
          <w:numId w:val="24"/>
        </w:numPr>
        <w:spacing w:after="20"/>
        <w:rPr>
          <w:color w:val="auto"/>
        </w:rPr>
      </w:pPr>
      <w:r w:rsidRPr="00812553">
        <w:rPr>
          <w:color w:val="auto"/>
        </w:rPr>
        <w:t>General Data Protection Regulation 2016</w:t>
      </w:r>
    </w:p>
    <w:p w14:paraId="31CFF0E4" w14:textId="77777777" w:rsidR="00815880" w:rsidRPr="00812553" w:rsidRDefault="00815880" w:rsidP="00815880">
      <w:pPr>
        <w:pStyle w:val="Default0"/>
        <w:numPr>
          <w:ilvl w:val="0"/>
          <w:numId w:val="24"/>
        </w:numPr>
        <w:spacing w:after="20"/>
        <w:rPr>
          <w:color w:val="auto"/>
        </w:rPr>
      </w:pPr>
      <w:r w:rsidRPr="00812553">
        <w:rPr>
          <w:color w:val="auto"/>
        </w:rPr>
        <w:t xml:space="preserve">The Public Interest Disclosure Act </w:t>
      </w:r>
      <w:proofErr w:type="gramStart"/>
      <w:r w:rsidRPr="00812553">
        <w:rPr>
          <w:color w:val="auto"/>
        </w:rPr>
        <w:t>1998;</w:t>
      </w:r>
      <w:proofErr w:type="gramEnd"/>
      <w:r w:rsidRPr="00812553">
        <w:rPr>
          <w:color w:val="auto"/>
        </w:rPr>
        <w:t xml:space="preserve"> </w:t>
      </w:r>
    </w:p>
    <w:p w14:paraId="115936D8" w14:textId="77777777" w:rsidR="00815880" w:rsidRPr="00812553" w:rsidRDefault="00815880" w:rsidP="00815880">
      <w:pPr>
        <w:pStyle w:val="ListParagraph"/>
        <w:numPr>
          <w:ilvl w:val="0"/>
          <w:numId w:val="24"/>
        </w:numPr>
        <w:spacing w:after="0" w:line="240" w:lineRule="auto"/>
        <w:rPr>
          <w:rFonts w:cs="Arial"/>
          <w:szCs w:val="24"/>
        </w:rPr>
      </w:pPr>
      <w:r w:rsidRPr="00812553">
        <w:rPr>
          <w:rFonts w:cs="Arial"/>
          <w:szCs w:val="24"/>
        </w:rPr>
        <w:t>Health and Social Care Act 2012 and HSC (Safety and Quality) Act 2015.</w:t>
      </w:r>
    </w:p>
    <w:p w14:paraId="2699B20B" w14:textId="77777777" w:rsidR="00815880" w:rsidRDefault="00815880" w:rsidP="00815880">
      <w:pPr>
        <w:pStyle w:val="Default0"/>
        <w:numPr>
          <w:ilvl w:val="0"/>
          <w:numId w:val="24"/>
        </w:numPr>
        <w:rPr>
          <w:color w:val="auto"/>
        </w:rPr>
      </w:pPr>
      <w:r w:rsidRPr="00812553">
        <w:rPr>
          <w:color w:val="auto"/>
        </w:rPr>
        <w:t xml:space="preserve">The Computer Misuse Act </w:t>
      </w:r>
      <w:proofErr w:type="gramStart"/>
      <w:r w:rsidRPr="00812553">
        <w:rPr>
          <w:color w:val="auto"/>
        </w:rPr>
        <w:t>1990;</w:t>
      </w:r>
      <w:proofErr w:type="gramEnd"/>
    </w:p>
    <w:p w14:paraId="715024F6" w14:textId="77777777" w:rsidR="00815880" w:rsidRDefault="00815880" w:rsidP="00815880">
      <w:pPr>
        <w:pStyle w:val="Default0"/>
        <w:numPr>
          <w:ilvl w:val="0"/>
          <w:numId w:val="24"/>
        </w:numPr>
        <w:spacing w:after="20"/>
        <w:rPr>
          <w:color w:val="auto"/>
        </w:rPr>
      </w:pPr>
      <w:r w:rsidRPr="00812553">
        <w:rPr>
          <w:color w:val="auto"/>
        </w:rPr>
        <w:t xml:space="preserve">the common law duty of </w:t>
      </w:r>
      <w:proofErr w:type="gramStart"/>
      <w:r w:rsidRPr="00812553">
        <w:rPr>
          <w:color w:val="auto"/>
        </w:rPr>
        <w:t>confidentiality;</w:t>
      </w:r>
      <w:proofErr w:type="gramEnd"/>
      <w:r w:rsidRPr="00812553">
        <w:rPr>
          <w:color w:val="auto"/>
        </w:rPr>
        <w:t xml:space="preserve"> </w:t>
      </w:r>
    </w:p>
    <w:p w14:paraId="2AA6F0D2" w14:textId="77777777" w:rsidR="00C546F1" w:rsidRPr="00812553" w:rsidRDefault="00C546F1" w:rsidP="00815880">
      <w:pPr>
        <w:pStyle w:val="Default0"/>
        <w:numPr>
          <w:ilvl w:val="0"/>
          <w:numId w:val="24"/>
        </w:numPr>
        <w:spacing w:after="20"/>
        <w:rPr>
          <w:color w:val="auto"/>
        </w:rPr>
      </w:pPr>
      <w:r>
        <w:rPr>
          <w:color w:val="auto"/>
        </w:rPr>
        <w:t xml:space="preserve">National Data Guardian </w:t>
      </w:r>
      <w:proofErr w:type="gramStart"/>
      <w:r>
        <w:rPr>
          <w:color w:val="auto"/>
        </w:rPr>
        <w:t>Standards;</w:t>
      </w:r>
      <w:proofErr w:type="gramEnd"/>
    </w:p>
    <w:p w14:paraId="61718114" w14:textId="77777777" w:rsidR="00815880" w:rsidRPr="00D67D48" w:rsidRDefault="00815880" w:rsidP="00815880">
      <w:pPr>
        <w:pStyle w:val="Default0"/>
        <w:numPr>
          <w:ilvl w:val="0"/>
          <w:numId w:val="24"/>
        </w:numPr>
        <w:spacing w:after="20"/>
        <w:rPr>
          <w:color w:val="auto"/>
        </w:rPr>
      </w:pPr>
      <w:r w:rsidRPr="00812553">
        <w:rPr>
          <w:color w:val="auto"/>
        </w:rPr>
        <w:t xml:space="preserve">Caldicott </w:t>
      </w:r>
      <w:proofErr w:type="gramStart"/>
      <w:r w:rsidRPr="00812553">
        <w:rPr>
          <w:color w:val="auto"/>
        </w:rPr>
        <w:t>principles;</w:t>
      </w:r>
      <w:proofErr w:type="gramEnd"/>
      <w:r w:rsidRPr="00812553">
        <w:rPr>
          <w:color w:val="auto"/>
        </w:rPr>
        <w:t xml:space="preserve"> </w:t>
      </w:r>
    </w:p>
    <w:p w14:paraId="5A71BF78" w14:textId="77777777" w:rsidR="00620231" w:rsidRPr="00025912" w:rsidRDefault="00815880" w:rsidP="00620231">
      <w:pPr>
        <w:pStyle w:val="Default0"/>
        <w:numPr>
          <w:ilvl w:val="0"/>
          <w:numId w:val="24"/>
        </w:numPr>
        <w:rPr>
          <w:color w:val="auto"/>
        </w:rPr>
      </w:pPr>
      <w:r w:rsidRPr="00025912">
        <w:rPr>
          <w:color w:val="auto"/>
        </w:rPr>
        <w:t>Information Commissioners Data Sharing Code of Practice.</w:t>
      </w:r>
    </w:p>
    <w:p w14:paraId="58CB4B50" w14:textId="77777777" w:rsidR="003F5A9E" w:rsidRPr="007E18CD" w:rsidRDefault="003F5A9E" w:rsidP="003F5A9E">
      <w:pPr>
        <w:pStyle w:val="Heading1"/>
      </w:pPr>
      <w:r w:rsidRPr="007E18CD">
        <w:tab/>
      </w:r>
      <w:bookmarkStart w:id="35" w:name="_Toc54273975"/>
      <w:bookmarkStart w:id="36" w:name="_Toc58498356"/>
      <w:r w:rsidRPr="007E18CD">
        <w:t>App</w:t>
      </w:r>
      <w:r w:rsidRPr="007E18CD">
        <w:rPr>
          <w:spacing w:val="1"/>
        </w:rPr>
        <w:t>e</w:t>
      </w:r>
      <w:r w:rsidRPr="007E18CD">
        <w:t>ndices</w:t>
      </w:r>
      <w:bookmarkEnd w:id="35"/>
      <w:bookmarkEnd w:id="36"/>
    </w:p>
    <w:p w14:paraId="0A152B69" w14:textId="77777777" w:rsidR="003F5A9E" w:rsidRDefault="003F5A9E" w:rsidP="003F5A9E">
      <w:pPr>
        <w:pStyle w:val="Default0"/>
        <w:ind w:left="709"/>
        <w:rPr>
          <w:color w:val="auto"/>
        </w:rPr>
      </w:pPr>
      <w:r>
        <w:rPr>
          <w:color w:val="auto"/>
        </w:rPr>
        <w:t>Appendix A: Confidentiality Do’s and Don’ts</w:t>
      </w:r>
    </w:p>
    <w:p w14:paraId="692F0B79" w14:textId="77777777" w:rsidR="003F5A9E" w:rsidRDefault="003F5A9E">
      <w:pPr>
        <w:spacing w:after="0" w:line="240" w:lineRule="auto"/>
        <w:ind w:left="0"/>
      </w:pPr>
      <w:r>
        <w:lastRenderedPageBreak/>
        <w:br w:type="page"/>
      </w:r>
    </w:p>
    <w:p w14:paraId="4CD800DD" w14:textId="77777777" w:rsidR="003F5A9E" w:rsidRPr="00982934" w:rsidRDefault="003F5A9E" w:rsidP="00982934">
      <w:pPr>
        <w:pStyle w:val="Heading1"/>
        <w:rPr>
          <w:rFonts w:eastAsiaTheme="minorHAnsi"/>
        </w:rPr>
      </w:pPr>
      <w:bookmarkStart w:id="37" w:name="_Toc54273976"/>
      <w:bookmarkStart w:id="38" w:name="_Toc58498357"/>
      <w:r>
        <w:lastRenderedPageBreak/>
        <w:t>Appendix A</w:t>
      </w:r>
      <w:r w:rsidR="00982934">
        <w:t xml:space="preserve"> - </w:t>
      </w:r>
      <w:r w:rsidRPr="00982934">
        <w:rPr>
          <w:rFonts w:eastAsiaTheme="minorHAnsi"/>
        </w:rPr>
        <w:t>Confidentiality Dos and Don’ts</w:t>
      </w:r>
      <w:bookmarkEnd w:id="37"/>
      <w:bookmarkEnd w:id="38"/>
    </w:p>
    <w:p w14:paraId="15A60B4F" w14:textId="77777777" w:rsidR="003F5A9E" w:rsidRPr="003F5A9E" w:rsidRDefault="003F5A9E" w:rsidP="003F5A9E">
      <w:pPr>
        <w:autoSpaceDE w:val="0"/>
        <w:autoSpaceDN w:val="0"/>
        <w:adjustRightInd w:val="0"/>
        <w:spacing w:after="0" w:line="240" w:lineRule="auto"/>
        <w:jc w:val="both"/>
        <w:rPr>
          <w:rFonts w:eastAsiaTheme="minorHAnsi" w:cs="Arial"/>
          <w:b/>
          <w:bCs/>
        </w:rPr>
      </w:pPr>
      <w:r w:rsidRPr="003F5A9E">
        <w:rPr>
          <w:rFonts w:eastAsiaTheme="minorHAnsi" w:cs="Arial"/>
          <w:b/>
          <w:bCs/>
        </w:rPr>
        <w:t>Do’s</w:t>
      </w:r>
    </w:p>
    <w:p w14:paraId="1E0C9431" w14:textId="77777777" w:rsidR="003F5A9E" w:rsidRPr="003F5A9E" w:rsidRDefault="003F5A9E" w:rsidP="00982934">
      <w:pPr>
        <w:pStyle w:val="Bullet1"/>
        <w:contextualSpacing w:val="0"/>
        <w:rPr>
          <w:rFonts w:eastAsiaTheme="minorHAnsi"/>
        </w:rPr>
      </w:pPr>
      <w:r w:rsidRPr="003F5A9E">
        <w:rPr>
          <w:rFonts w:eastAsiaTheme="minorHAnsi"/>
        </w:rPr>
        <w:t xml:space="preserve">Do safeguard the confidentiality of all personal confidential information or corporately confidential information that you </w:t>
      </w:r>
      <w:proofErr w:type="gramStart"/>
      <w:r w:rsidRPr="003F5A9E">
        <w:rPr>
          <w:rFonts w:eastAsiaTheme="minorHAnsi"/>
        </w:rPr>
        <w:t>come into contact with</w:t>
      </w:r>
      <w:proofErr w:type="gramEnd"/>
      <w:r w:rsidRPr="003F5A9E">
        <w:rPr>
          <w:rFonts w:eastAsiaTheme="minorHAnsi"/>
        </w:rPr>
        <w:t>. This is a statutory obligation on everyone working on or behalf of NHS.</w:t>
      </w:r>
    </w:p>
    <w:p w14:paraId="639DE202" w14:textId="77777777" w:rsidR="003F5A9E" w:rsidRPr="003F5A9E" w:rsidRDefault="003F5A9E" w:rsidP="00982934">
      <w:pPr>
        <w:pStyle w:val="Bullet1"/>
        <w:contextualSpacing w:val="0"/>
        <w:rPr>
          <w:rFonts w:eastAsiaTheme="minorHAnsi"/>
        </w:rPr>
      </w:pPr>
      <w:r w:rsidRPr="003F5A9E">
        <w:rPr>
          <w:rFonts w:eastAsiaTheme="minorHAnsi"/>
        </w:rPr>
        <w:t>Do clear your desk at the end of each day, keeping all portable records containing personal confidential information or corporately confidential information in recognised filing and storage places that are locked at times when access is not directly controlled or supervised.</w:t>
      </w:r>
    </w:p>
    <w:p w14:paraId="3AF44822" w14:textId="77777777" w:rsidR="003F5A9E" w:rsidRPr="003F5A9E" w:rsidRDefault="003F5A9E" w:rsidP="00982934">
      <w:pPr>
        <w:pStyle w:val="Bullet1"/>
        <w:contextualSpacing w:val="0"/>
        <w:rPr>
          <w:rFonts w:eastAsiaTheme="minorHAnsi"/>
        </w:rPr>
      </w:pPr>
      <w:r w:rsidRPr="003F5A9E">
        <w:rPr>
          <w:rFonts w:eastAsiaTheme="minorHAnsi"/>
        </w:rPr>
        <w:t>Do switch off computers with access to personal confidential information or corporately confidential information</w:t>
      </w:r>
      <w:r w:rsidR="003A65F7">
        <w:rPr>
          <w:rFonts w:eastAsiaTheme="minorHAnsi"/>
        </w:rPr>
        <w:t xml:space="preserve"> at the end of each day, and/</w:t>
      </w:r>
      <w:r w:rsidRPr="003F5A9E">
        <w:rPr>
          <w:rFonts w:eastAsiaTheme="minorHAnsi"/>
        </w:rPr>
        <w:t xml:space="preserve"> or put them into a password protected mode, if you leave your desk for any length of time.</w:t>
      </w:r>
    </w:p>
    <w:p w14:paraId="48801F49" w14:textId="77777777" w:rsidR="003F5A9E" w:rsidRPr="003F5A9E" w:rsidRDefault="003F5A9E" w:rsidP="00982934">
      <w:pPr>
        <w:pStyle w:val="Bullet1"/>
        <w:contextualSpacing w:val="0"/>
        <w:rPr>
          <w:rFonts w:eastAsiaTheme="minorHAnsi"/>
        </w:rPr>
      </w:pPr>
      <w:r w:rsidRPr="003F5A9E">
        <w:rPr>
          <w:rFonts w:eastAsiaTheme="minorHAnsi"/>
        </w:rPr>
        <w:t>Do ensure that you cannot be overheard when discussing confidential matters.</w:t>
      </w:r>
    </w:p>
    <w:p w14:paraId="763D12AD" w14:textId="77777777" w:rsidR="003F5A9E" w:rsidRPr="003F5A9E" w:rsidRDefault="003F5A9E" w:rsidP="00982934">
      <w:pPr>
        <w:pStyle w:val="Bullet1"/>
        <w:contextualSpacing w:val="0"/>
        <w:rPr>
          <w:rFonts w:eastAsiaTheme="minorHAnsi"/>
        </w:rPr>
      </w:pPr>
      <w:r w:rsidRPr="003F5A9E">
        <w:rPr>
          <w:rFonts w:eastAsiaTheme="minorHAnsi"/>
        </w:rPr>
        <w:t>Do challenge and verify where necessary the identity of any person who is making a request for personal confidential information or corporately confidential information and ensure they have authorisation to access, and a legitimate need to know the information.</w:t>
      </w:r>
    </w:p>
    <w:p w14:paraId="20026AEA" w14:textId="77777777" w:rsidR="003F5A9E" w:rsidRPr="003F5A9E" w:rsidRDefault="003F5A9E" w:rsidP="00982934">
      <w:pPr>
        <w:pStyle w:val="Bullet1"/>
        <w:contextualSpacing w:val="0"/>
        <w:rPr>
          <w:rFonts w:eastAsiaTheme="minorHAnsi"/>
        </w:rPr>
      </w:pPr>
      <w:r w:rsidRPr="003F5A9E">
        <w:rPr>
          <w:rFonts w:eastAsiaTheme="minorHAnsi"/>
        </w:rPr>
        <w:t>Do share only the minimum information necessary.</w:t>
      </w:r>
    </w:p>
    <w:p w14:paraId="17CC546C" w14:textId="77777777" w:rsidR="003F5A9E" w:rsidRDefault="003F5A9E" w:rsidP="00982934">
      <w:pPr>
        <w:pStyle w:val="Bullet1"/>
        <w:contextualSpacing w:val="0"/>
        <w:rPr>
          <w:rFonts w:eastAsiaTheme="minorHAnsi"/>
        </w:rPr>
      </w:pPr>
      <w:r w:rsidRPr="003F5A9E">
        <w:rPr>
          <w:rFonts w:eastAsiaTheme="minorHAnsi"/>
        </w:rPr>
        <w:t xml:space="preserve">Do transfer personal confidential information or corporately confidential information securely, </w:t>
      </w:r>
      <w:proofErr w:type="gramStart"/>
      <w:r w:rsidRPr="003F5A9E">
        <w:rPr>
          <w:rFonts w:eastAsiaTheme="minorHAnsi"/>
        </w:rPr>
        <w:t>i.e.</w:t>
      </w:r>
      <w:proofErr w:type="gramEnd"/>
      <w:r w:rsidRPr="003F5A9E">
        <w:rPr>
          <w:rFonts w:eastAsiaTheme="minorHAnsi"/>
        </w:rPr>
        <w:t xml:space="preserve"> use an nhs.net email account to send confidential information to another nhs.net email account or to a se</w:t>
      </w:r>
      <w:r w:rsidR="003A65F7">
        <w:rPr>
          <w:rFonts w:eastAsiaTheme="minorHAnsi"/>
        </w:rPr>
        <w:t xml:space="preserve">cure government domain e.g. </w:t>
      </w:r>
      <w:r w:rsidRPr="003F5A9E">
        <w:rPr>
          <w:rFonts w:eastAsiaTheme="minorHAnsi"/>
        </w:rPr>
        <w:t>gov.uk.</w:t>
      </w:r>
    </w:p>
    <w:p w14:paraId="14CF7CAB" w14:textId="77777777" w:rsidR="003A65F7" w:rsidRPr="003F5A9E" w:rsidRDefault="003A65F7" w:rsidP="00982934">
      <w:pPr>
        <w:pStyle w:val="Bullet1"/>
        <w:contextualSpacing w:val="0"/>
        <w:rPr>
          <w:rFonts w:eastAsiaTheme="minorHAnsi"/>
        </w:rPr>
      </w:pPr>
      <w:r>
        <w:rPr>
          <w:rFonts w:eastAsiaTheme="minorHAnsi"/>
        </w:rPr>
        <w:t>NB/ NHS.UK are not secure email addresses and should not be used for transmission of personal identifiable and confidential information.</w:t>
      </w:r>
    </w:p>
    <w:p w14:paraId="76EE5FE5" w14:textId="77777777" w:rsidR="003F5A9E" w:rsidRPr="003F5A9E" w:rsidRDefault="003F5A9E" w:rsidP="00982934">
      <w:pPr>
        <w:pStyle w:val="Bullet1"/>
        <w:contextualSpacing w:val="0"/>
        <w:rPr>
          <w:rFonts w:eastAsiaTheme="minorHAnsi"/>
        </w:rPr>
      </w:pPr>
      <w:r w:rsidRPr="003F5A9E">
        <w:rPr>
          <w:rFonts w:eastAsiaTheme="minorHAnsi"/>
        </w:rPr>
        <w:t xml:space="preserve">Do seek advice if you need to share personal confidential information without the consent of the patient/identifiable person’s </w:t>
      </w:r>
      <w:proofErr w:type="gramStart"/>
      <w:r w:rsidRPr="003F5A9E">
        <w:rPr>
          <w:rFonts w:eastAsiaTheme="minorHAnsi"/>
        </w:rPr>
        <w:t>consent, and</w:t>
      </w:r>
      <w:proofErr w:type="gramEnd"/>
      <w:r w:rsidRPr="003F5A9E">
        <w:rPr>
          <w:rFonts w:eastAsiaTheme="minorHAnsi"/>
        </w:rPr>
        <w:t xml:space="preserve"> record the decision and any action taken.</w:t>
      </w:r>
    </w:p>
    <w:p w14:paraId="31E1C1BD" w14:textId="77777777" w:rsidR="003F5A9E" w:rsidRPr="003F5A9E" w:rsidRDefault="003F5A9E" w:rsidP="00982934">
      <w:pPr>
        <w:pStyle w:val="Bullet1"/>
        <w:contextualSpacing w:val="0"/>
        <w:rPr>
          <w:rFonts w:eastAsiaTheme="minorHAnsi"/>
        </w:rPr>
      </w:pPr>
      <w:r w:rsidRPr="003F5A9E">
        <w:rPr>
          <w:rFonts w:eastAsiaTheme="minorHAnsi"/>
        </w:rPr>
        <w:t>Do report any actual or suspected breaches of confidentiality.</w:t>
      </w:r>
    </w:p>
    <w:p w14:paraId="3CD238B7" w14:textId="77777777" w:rsidR="003F5A9E" w:rsidRDefault="003F5A9E" w:rsidP="00982934">
      <w:pPr>
        <w:pStyle w:val="Bullet1"/>
        <w:contextualSpacing w:val="0"/>
        <w:rPr>
          <w:rFonts w:eastAsiaTheme="minorHAnsi"/>
        </w:rPr>
      </w:pPr>
      <w:r w:rsidRPr="003A65F7">
        <w:rPr>
          <w:rFonts w:eastAsiaTheme="minorHAnsi"/>
        </w:rPr>
        <w:t xml:space="preserve">Do complete statutory and mandatory training and other training as appropriate. </w:t>
      </w:r>
    </w:p>
    <w:p w14:paraId="67D6A224" w14:textId="77777777" w:rsidR="003F5A9E" w:rsidRPr="003F5A9E" w:rsidRDefault="003F5A9E" w:rsidP="00982934">
      <w:pPr>
        <w:pStyle w:val="Bullet1"/>
        <w:contextualSpacing w:val="0"/>
        <w:rPr>
          <w:rFonts w:eastAsiaTheme="minorHAnsi"/>
        </w:rPr>
      </w:pPr>
      <w:r w:rsidRPr="003F5A9E">
        <w:rPr>
          <w:rFonts w:eastAsiaTheme="minorHAnsi"/>
        </w:rPr>
        <w:t xml:space="preserve">Obtain and record consent for the use of data </w:t>
      </w:r>
      <w:proofErr w:type="gramStart"/>
      <w:r w:rsidRPr="003F5A9E">
        <w:rPr>
          <w:rFonts w:eastAsiaTheme="minorHAnsi"/>
        </w:rPr>
        <w:t>subjects</w:t>
      </w:r>
      <w:proofErr w:type="gramEnd"/>
      <w:r w:rsidRPr="003F5A9E">
        <w:rPr>
          <w:rFonts w:eastAsiaTheme="minorHAnsi"/>
        </w:rPr>
        <w:t xml:space="preserve"> personal information</w:t>
      </w:r>
    </w:p>
    <w:p w14:paraId="30171ADE" w14:textId="77777777" w:rsidR="003F5A9E" w:rsidRPr="003F5A9E" w:rsidRDefault="003F5A9E" w:rsidP="00982934">
      <w:pPr>
        <w:pStyle w:val="Bullet1"/>
        <w:rPr>
          <w:rFonts w:eastAsiaTheme="minorHAnsi"/>
        </w:rPr>
      </w:pPr>
      <w:r w:rsidRPr="003F5A9E">
        <w:rPr>
          <w:rFonts w:eastAsiaTheme="minorHAnsi"/>
        </w:rPr>
        <w:br w:type="page"/>
      </w:r>
    </w:p>
    <w:p w14:paraId="016E7DAF" w14:textId="77777777" w:rsidR="003F5A9E" w:rsidRPr="003F5A9E" w:rsidRDefault="003F5A9E" w:rsidP="003F5A9E">
      <w:pPr>
        <w:autoSpaceDE w:val="0"/>
        <w:autoSpaceDN w:val="0"/>
        <w:adjustRightInd w:val="0"/>
        <w:spacing w:after="0" w:line="240" w:lineRule="auto"/>
        <w:jc w:val="both"/>
        <w:rPr>
          <w:rFonts w:eastAsiaTheme="minorHAnsi" w:cs="Arial"/>
          <w:b/>
          <w:bCs/>
        </w:rPr>
      </w:pPr>
      <w:r w:rsidRPr="003F5A9E">
        <w:rPr>
          <w:rFonts w:eastAsiaTheme="minorHAnsi" w:cs="Arial"/>
          <w:b/>
          <w:bCs/>
        </w:rPr>
        <w:lastRenderedPageBreak/>
        <w:t>Don’ts</w:t>
      </w:r>
    </w:p>
    <w:p w14:paraId="06D85D8C" w14:textId="77777777" w:rsidR="003F5A9E" w:rsidRPr="003F5A9E" w:rsidRDefault="003F5A9E" w:rsidP="003F5A9E">
      <w:pPr>
        <w:autoSpaceDE w:val="0"/>
        <w:autoSpaceDN w:val="0"/>
        <w:adjustRightInd w:val="0"/>
        <w:spacing w:after="0" w:line="240" w:lineRule="auto"/>
        <w:jc w:val="both"/>
        <w:rPr>
          <w:rFonts w:eastAsiaTheme="minorHAnsi" w:cs="Arial"/>
          <w:b/>
          <w:bCs/>
        </w:rPr>
      </w:pPr>
    </w:p>
    <w:p w14:paraId="35897577" w14:textId="77777777" w:rsidR="003F5A9E" w:rsidRPr="003F5A9E" w:rsidRDefault="003F5A9E" w:rsidP="00982934">
      <w:pPr>
        <w:pStyle w:val="Bullet1"/>
        <w:contextualSpacing w:val="0"/>
        <w:rPr>
          <w:rFonts w:eastAsiaTheme="minorHAnsi"/>
        </w:rPr>
      </w:pPr>
      <w:r w:rsidRPr="003F5A9E">
        <w:rPr>
          <w:rFonts w:eastAsiaTheme="minorHAnsi"/>
        </w:rPr>
        <w:t xml:space="preserve">Don’t share passwords or smart </w:t>
      </w:r>
      <w:proofErr w:type="gramStart"/>
      <w:r w:rsidRPr="003F5A9E">
        <w:rPr>
          <w:rFonts w:eastAsiaTheme="minorHAnsi"/>
        </w:rPr>
        <w:t>cards, or</w:t>
      </w:r>
      <w:proofErr w:type="gramEnd"/>
      <w:r w:rsidRPr="003F5A9E">
        <w:rPr>
          <w:rFonts w:eastAsiaTheme="minorHAnsi"/>
        </w:rPr>
        <w:t xml:space="preserve"> leave them lying around for others to see or use.</w:t>
      </w:r>
    </w:p>
    <w:p w14:paraId="756C1EA5" w14:textId="77777777" w:rsidR="003F5A9E" w:rsidRPr="003F5A9E" w:rsidRDefault="003F5A9E" w:rsidP="00982934">
      <w:pPr>
        <w:pStyle w:val="Bullet1"/>
        <w:contextualSpacing w:val="0"/>
        <w:rPr>
          <w:rFonts w:eastAsiaTheme="minorHAnsi"/>
        </w:rPr>
      </w:pPr>
      <w:r w:rsidRPr="003F5A9E">
        <w:rPr>
          <w:rFonts w:eastAsiaTheme="minorHAnsi"/>
        </w:rPr>
        <w:t>Don’t share information without the consent of the person to which the information relates, unless there are statutory grounds to do so.</w:t>
      </w:r>
    </w:p>
    <w:p w14:paraId="4FE0A251" w14:textId="77777777" w:rsidR="003F5A9E" w:rsidRPr="003F5A9E" w:rsidRDefault="003F5A9E" w:rsidP="00982934">
      <w:pPr>
        <w:pStyle w:val="Bullet1"/>
        <w:contextualSpacing w:val="0"/>
        <w:rPr>
          <w:rFonts w:eastAsiaTheme="minorHAnsi"/>
        </w:rPr>
      </w:pPr>
      <w:r w:rsidRPr="003F5A9E">
        <w:rPr>
          <w:rFonts w:eastAsiaTheme="minorHAnsi"/>
        </w:rPr>
        <w:t xml:space="preserve">Don’t use personal confidential or corporately confidential information unless </w:t>
      </w:r>
      <w:proofErr w:type="gramStart"/>
      <w:r w:rsidRPr="003F5A9E">
        <w:rPr>
          <w:rFonts w:eastAsiaTheme="minorHAnsi"/>
        </w:rPr>
        <w:t>absolutely necessary</w:t>
      </w:r>
      <w:proofErr w:type="gramEnd"/>
      <w:r w:rsidRPr="003F5A9E">
        <w:rPr>
          <w:rFonts w:eastAsiaTheme="minorHAnsi"/>
        </w:rPr>
        <w:t>, anonymise the information where possible.</w:t>
      </w:r>
    </w:p>
    <w:p w14:paraId="77BFD95C" w14:textId="77777777" w:rsidR="003F5A9E" w:rsidRPr="003F5A9E" w:rsidRDefault="003F5A9E" w:rsidP="00982934">
      <w:pPr>
        <w:pStyle w:val="Bullet1"/>
        <w:contextualSpacing w:val="0"/>
        <w:rPr>
          <w:rFonts w:eastAsiaTheme="minorHAnsi"/>
        </w:rPr>
      </w:pPr>
      <w:r w:rsidRPr="003F5A9E">
        <w:rPr>
          <w:rFonts w:eastAsiaTheme="minorHAnsi"/>
        </w:rPr>
        <w:t>Don’t collect, hold or process more information than you need, and do not keep it for longer than necessary.</w:t>
      </w:r>
    </w:p>
    <w:p w14:paraId="160299C2" w14:textId="77777777" w:rsidR="003F5A9E" w:rsidRPr="003F5A9E" w:rsidRDefault="003F5A9E" w:rsidP="00982934">
      <w:pPr>
        <w:pStyle w:val="Bullet1"/>
        <w:contextualSpacing w:val="0"/>
        <w:rPr>
          <w:rFonts w:eastAsiaTheme="minorHAnsi"/>
        </w:rPr>
      </w:pPr>
      <w:r w:rsidRPr="003F5A9E">
        <w:rPr>
          <w:rFonts w:eastAsiaTheme="minorHAnsi"/>
        </w:rPr>
        <w:t>Don’t attempt to obtain access to personal confidential information or corporately confidential information unless you have a legitimate reason to do so.</w:t>
      </w:r>
    </w:p>
    <w:p w14:paraId="7CD15A59" w14:textId="77777777" w:rsidR="003F5A9E" w:rsidRPr="007E18CD" w:rsidRDefault="003F5A9E" w:rsidP="00815880"/>
    <w:sectPr w:rsidR="003F5A9E" w:rsidRPr="007E18CD" w:rsidSect="006C73EA">
      <w:footerReference w:type="default" r:id="rId8"/>
      <w:headerReference w:type="first" r:id="rId9"/>
      <w:footerReference w:type="first" r:id="rId10"/>
      <w:pgSz w:w="11907" w:h="16840" w:code="9"/>
      <w:pgMar w:top="993" w:right="851" w:bottom="851" w:left="851" w:header="706"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593EF" w14:textId="77777777" w:rsidR="00840225" w:rsidRDefault="00840225" w:rsidP="00965E6A">
      <w:r>
        <w:separator/>
      </w:r>
    </w:p>
    <w:p w14:paraId="2BD91869" w14:textId="77777777" w:rsidR="00840225" w:rsidRDefault="00840225"/>
    <w:p w14:paraId="428A2CCA" w14:textId="77777777" w:rsidR="00840225" w:rsidRDefault="00840225" w:rsidP="00033AC0"/>
  </w:endnote>
  <w:endnote w:type="continuationSeparator" w:id="0">
    <w:p w14:paraId="7729962B" w14:textId="77777777" w:rsidR="00840225" w:rsidRDefault="00840225" w:rsidP="00965E6A">
      <w:r>
        <w:continuationSeparator/>
      </w:r>
    </w:p>
    <w:p w14:paraId="1172D7B3" w14:textId="77777777" w:rsidR="00840225" w:rsidRDefault="00840225"/>
    <w:p w14:paraId="7DC9AD0A" w14:textId="77777777" w:rsidR="00840225" w:rsidRDefault="00840225" w:rsidP="0003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B4B52" w14:textId="6261313D" w:rsidR="001B06E2" w:rsidRPr="001B06E2" w:rsidRDefault="001B06E2" w:rsidP="001B06E2">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 xml:space="preserve">Confidentiality: Code of Conduct – </w:t>
    </w:r>
    <w:r w:rsidR="00E763BD">
      <w:rPr>
        <w:sz w:val="20"/>
        <w:szCs w:val="20"/>
        <w:lang w:val="en-GB"/>
      </w:rPr>
      <w:t xml:space="preserve">April </w:t>
    </w:r>
    <w:r>
      <w:rPr>
        <w:sz w:val="20"/>
        <w:szCs w:val="20"/>
        <w:lang w:val="en-GB"/>
      </w:rPr>
      <w:t>202</w:t>
    </w:r>
    <w:r w:rsidR="00E763BD">
      <w:rPr>
        <w:sz w:val="20"/>
        <w:szCs w:val="20"/>
        <w:lang w:val="en-GB"/>
      </w:rPr>
      <w:t>1</w:t>
    </w:r>
    <w:r w:rsidR="00CE7394">
      <w:rPr>
        <w:sz w:val="20"/>
        <w:szCs w:val="20"/>
        <w:lang w:val="en-GB"/>
      </w:rPr>
      <w:tab/>
    </w:r>
    <w:r w:rsidR="00E763BD">
      <w:rPr>
        <w:sz w:val="20"/>
        <w:szCs w:val="20"/>
        <w:lang w:val="en-GB"/>
      </w:rPr>
      <w:tab/>
    </w:r>
    <w:r w:rsidR="00CE7394">
      <w:rPr>
        <w:sz w:val="20"/>
        <w:szCs w:val="20"/>
        <w:lang w:val="en-GB"/>
      </w:rPr>
      <w:t xml:space="preserve">Page </w:t>
    </w:r>
    <w:r w:rsidR="00CE7394">
      <w:rPr>
        <w:sz w:val="20"/>
        <w:szCs w:val="20"/>
        <w:lang w:val="en-GB"/>
      </w:rPr>
      <w:fldChar w:fldCharType="begin"/>
    </w:r>
    <w:r w:rsidR="00CE7394">
      <w:rPr>
        <w:sz w:val="20"/>
        <w:szCs w:val="20"/>
        <w:lang w:val="en-GB"/>
      </w:rPr>
      <w:instrText xml:space="preserve"> PAGE   \* MERGEFORMAT </w:instrText>
    </w:r>
    <w:r w:rsidR="00CE7394">
      <w:rPr>
        <w:sz w:val="20"/>
        <w:szCs w:val="20"/>
        <w:lang w:val="en-GB"/>
      </w:rPr>
      <w:fldChar w:fldCharType="separate"/>
    </w:r>
    <w:r w:rsidR="00EF398B">
      <w:rPr>
        <w:noProof/>
        <w:sz w:val="20"/>
        <w:szCs w:val="20"/>
        <w:lang w:val="en-GB"/>
      </w:rPr>
      <w:t>14</w:t>
    </w:r>
    <w:r w:rsidR="00CE7394">
      <w:rPr>
        <w:sz w:val="20"/>
        <w:szCs w:val="20"/>
        <w:lang w:val="en-GB"/>
      </w:rPr>
      <w:fldChar w:fldCharType="end"/>
    </w:r>
    <w:r w:rsidR="00CE7394">
      <w:rPr>
        <w:sz w:val="20"/>
        <w:szCs w:val="20"/>
        <w:lang w:val="en-GB"/>
      </w:rPr>
      <w:t xml:space="preserve"> of </w:t>
    </w:r>
    <w:r w:rsidR="00CE7394">
      <w:rPr>
        <w:sz w:val="20"/>
        <w:szCs w:val="20"/>
        <w:lang w:val="en-GB"/>
      </w:rPr>
      <w:fldChar w:fldCharType="begin"/>
    </w:r>
    <w:r w:rsidR="00CE7394">
      <w:rPr>
        <w:sz w:val="20"/>
        <w:szCs w:val="20"/>
        <w:lang w:val="en-GB"/>
      </w:rPr>
      <w:instrText xml:space="preserve"> NUMPAGES   \* MERGEFORMAT </w:instrText>
    </w:r>
    <w:r w:rsidR="00CE7394">
      <w:rPr>
        <w:sz w:val="20"/>
        <w:szCs w:val="20"/>
        <w:lang w:val="en-GB"/>
      </w:rPr>
      <w:fldChar w:fldCharType="separate"/>
    </w:r>
    <w:r w:rsidR="00EF398B">
      <w:rPr>
        <w:noProof/>
        <w:sz w:val="20"/>
        <w:szCs w:val="20"/>
        <w:lang w:val="en-GB"/>
      </w:rPr>
      <w:t>14</w:t>
    </w:r>
    <w:r w:rsidR="00CE7394">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F0563" w14:textId="58532EFE" w:rsidR="00E61486" w:rsidRPr="001B06E2" w:rsidRDefault="001B06E2" w:rsidP="001B06E2">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 xml:space="preserve">Confidentiality: Code of Conduct </w:t>
    </w:r>
    <w:r w:rsidR="007E18CD">
      <w:rPr>
        <w:sz w:val="20"/>
        <w:szCs w:val="20"/>
        <w:lang w:val="en-GB"/>
      </w:rPr>
      <w:t xml:space="preserve">– </w:t>
    </w:r>
    <w:r w:rsidR="00E763BD">
      <w:rPr>
        <w:sz w:val="20"/>
        <w:szCs w:val="20"/>
        <w:lang w:val="en-GB"/>
      </w:rPr>
      <w:t>April 2021</w:t>
    </w:r>
    <w:r w:rsidR="006C73EA">
      <w:rPr>
        <w:sz w:val="20"/>
        <w:szCs w:val="20"/>
        <w:lang w:val="en-GB"/>
      </w:rPr>
      <w:tab/>
      <w:t xml:space="preserve">Page </w:t>
    </w:r>
    <w:r w:rsidR="006C73EA">
      <w:rPr>
        <w:sz w:val="20"/>
        <w:szCs w:val="20"/>
        <w:lang w:val="en-GB"/>
      </w:rPr>
      <w:fldChar w:fldCharType="begin"/>
    </w:r>
    <w:r w:rsidR="006C73EA">
      <w:rPr>
        <w:sz w:val="20"/>
        <w:szCs w:val="20"/>
        <w:lang w:val="en-GB"/>
      </w:rPr>
      <w:instrText xml:space="preserve"> PAGE   \* MERGEFORMAT </w:instrText>
    </w:r>
    <w:r w:rsidR="006C73EA">
      <w:rPr>
        <w:sz w:val="20"/>
        <w:szCs w:val="20"/>
        <w:lang w:val="en-GB"/>
      </w:rPr>
      <w:fldChar w:fldCharType="separate"/>
    </w:r>
    <w:r w:rsidR="00EF398B">
      <w:rPr>
        <w:noProof/>
        <w:sz w:val="20"/>
        <w:szCs w:val="20"/>
        <w:lang w:val="en-GB"/>
      </w:rPr>
      <w:t>1</w:t>
    </w:r>
    <w:r w:rsidR="006C73EA">
      <w:rPr>
        <w:sz w:val="20"/>
        <w:szCs w:val="20"/>
        <w:lang w:val="en-GB"/>
      </w:rPr>
      <w:fldChar w:fldCharType="end"/>
    </w:r>
    <w:r w:rsidR="006C73EA">
      <w:rPr>
        <w:sz w:val="20"/>
        <w:szCs w:val="20"/>
        <w:lang w:val="en-GB"/>
      </w:rPr>
      <w:t xml:space="preserve"> of </w:t>
    </w:r>
    <w:r w:rsidR="006C73EA">
      <w:rPr>
        <w:sz w:val="20"/>
        <w:szCs w:val="20"/>
        <w:lang w:val="en-GB"/>
      </w:rPr>
      <w:fldChar w:fldCharType="begin"/>
    </w:r>
    <w:r w:rsidR="006C73EA">
      <w:rPr>
        <w:sz w:val="20"/>
        <w:szCs w:val="20"/>
        <w:lang w:val="en-GB"/>
      </w:rPr>
      <w:instrText xml:space="preserve"> NUMPAGES   \* MERGEFORMAT </w:instrText>
    </w:r>
    <w:r w:rsidR="006C73EA">
      <w:rPr>
        <w:sz w:val="20"/>
        <w:szCs w:val="20"/>
        <w:lang w:val="en-GB"/>
      </w:rPr>
      <w:fldChar w:fldCharType="separate"/>
    </w:r>
    <w:r w:rsidR="00EF398B">
      <w:rPr>
        <w:noProof/>
        <w:sz w:val="20"/>
        <w:szCs w:val="20"/>
        <w:lang w:val="en-GB"/>
      </w:rPr>
      <w:t>14</w:t>
    </w:r>
    <w:r w:rsidR="006C73EA">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4155A" w14:textId="77777777" w:rsidR="00840225" w:rsidRDefault="00840225" w:rsidP="00965E6A">
      <w:r>
        <w:separator/>
      </w:r>
    </w:p>
    <w:p w14:paraId="1433CB7B" w14:textId="77777777" w:rsidR="00840225" w:rsidRDefault="00840225"/>
    <w:p w14:paraId="2211E07D" w14:textId="77777777" w:rsidR="00840225" w:rsidRDefault="00840225" w:rsidP="00033AC0"/>
  </w:footnote>
  <w:footnote w:type="continuationSeparator" w:id="0">
    <w:p w14:paraId="3336E20D" w14:textId="77777777" w:rsidR="00840225" w:rsidRDefault="00840225" w:rsidP="00965E6A">
      <w:r>
        <w:continuationSeparator/>
      </w:r>
    </w:p>
    <w:p w14:paraId="5B8AD793" w14:textId="77777777" w:rsidR="00840225" w:rsidRDefault="00840225"/>
    <w:p w14:paraId="787D0DD9" w14:textId="77777777" w:rsidR="00840225" w:rsidRDefault="00840225" w:rsidP="00033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37518" w14:textId="6FDCB441" w:rsidR="00E61486" w:rsidRDefault="00E763BD" w:rsidP="00E763BD">
    <w:pPr>
      <w:pStyle w:val="Header"/>
      <w:jc w:val="right"/>
    </w:pPr>
    <w:r>
      <w:rPr>
        <w:noProof/>
        <w:lang w:eastAsia="en-GB"/>
      </w:rPr>
      <w:drawing>
        <wp:inline distT="0" distB="0" distL="0" distR="0" wp14:anchorId="00FC27D0" wp14:editId="3E18E561">
          <wp:extent cx="2082165" cy="1479550"/>
          <wp:effectExtent l="0" t="0" r="0" b="635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431" cy="1479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4C7"/>
    <w:multiLevelType w:val="hybridMultilevel"/>
    <w:tmpl w:val="DEB8DCA6"/>
    <w:lvl w:ilvl="0" w:tplc="71AA0484">
      <w:start w:val="1"/>
      <w:numFmt w:val="bullet"/>
      <w:pStyle w:val="Bullet1"/>
      <w:lvlText w:val=""/>
      <w:lvlJc w:val="left"/>
      <w:pPr>
        <w:ind w:left="2960" w:hanging="360"/>
      </w:pPr>
      <w:rPr>
        <w:rFonts w:ascii="Symbol" w:hAnsi="Symbol" w:hint="default"/>
        <w:color w:val="auto"/>
      </w:rPr>
    </w:lvl>
    <w:lvl w:ilvl="1" w:tplc="6E6A564E">
      <w:start w:val="1"/>
      <w:numFmt w:val="bullet"/>
      <w:lvlText w:val="-"/>
      <w:lvlJc w:val="left"/>
      <w:pPr>
        <w:ind w:left="3680" w:hanging="360"/>
      </w:pPr>
      <w:rPr>
        <w:rFonts w:ascii="Courier New" w:hAnsi="Courier New" w:hint="default"/>
      </w:rPr>
    </w:lvl>
    <w:lvl w:ilvl="2" w:tplc="08090005" w:tentative="1">
      <w:start w:val="1"/>
      <w:numFmt w:val="bullet"/>
      <w:lvlText w:val=""/>
      <w:lvlJc w:val="left"/>
      <w:pPr>
        <w:ind w:left="4400" w:hanging="360"/>
      </w:pPr>
      <w:rPr>
        <w:rFonts w:ascii="Wingdings" w:hAnsi="Wingdings" w:hint="default"/>
      </w:rPr>
    </w:lvl>
    <w:lvl w:ilvl="3" w:tplc="08090001" w:tentative="1">
      <w:start w:val="1"/>
      <w:numFmt w:val="bullet"/>
      <w:lvlText w:val=""/>
      <w:lvlJc w:val="left"/>
      <w:pPr>
        <w:ind w:left="5120" w:hanging="360"/>
      </w:pPr>
      <w:rPr>
        <w:rFonts w:ascii="Symbol" w:hAnsi="Symbol" w:hint="default"/>
      </w:rPr>
    </w:lvl>
    <w:lvl w:ilvl="4" w:tplc="08090003" w:tentative="1">
      <w:start w:val="1"/>
      <w:numFmt w:val="bullet"/>
      <w:lvlText w:val="o"/>
      <w:lvlJc w:val="left"/>
      <w:pPr>
        <w:ind w:left="5840" w:hanging="360"/>
      </w:pPr>
      <w:rPr>
        <w:rFonts w:ascii="Courier New" w:hAnsi="Courier New" w:cs="Courier New" w:hint="default"/>
      </w:rPr>
    </w:lvl>
    <w:lvl w:ilvl="5" w:tplc="08090005" w:tentative="1">
      <w:start w:val="1"/>
      <w:numFmt w:val="bullet"/>
      <w:lvlText w:val=""/>
      <w:lvlJc w:val="left"/>
      <w:pPr>
        <w:ind w:left="6560" w:hanging="360"/>
      </w:pPr>
      <w:rPr>
        <w:rFonts w:ascii="Wingdings" w:hAnsi="Wingdings" w:hint="default"/>
      </w:rPr>
    </w:lvl>
    <w:lvl w:ilvl="6" w:tplc="08090001" w:tentative="1">
      <w:start w:val="1"/>
      <w:numFmt w:val="bullet"/>
      <w:lvlText w:val=""/>
      <w:lvlJc w:val="left"/>
      <w:pPr>
        <w:ind w:left="7280" w:hanging="360"/>
      </w:pPr>
      <w:rPr>
        <w:rFonts w:ascii="Symbol" w:hAnsi="Symbol" w:hint="default"/>
      </w:rPr>
    </w:lvl>
    <w:lvl w:ilvl="7" w:tplc="08090003" w:tentative="1">
      <w:start w:val="1"/>
      <w:numFmt w:val="bullet"/>
      <w:lvlText w:val="o"/>
      <w:lvlJc w:val="left"/>
      <w:pPr>
        <w:ind w:left="8000" w:hanging="360"/>
      </w:pPr>
      <w:rPr>
        <w:rFonts w:ascii="Courier New" w:hAnsi="Courier New" w:cs="Courier New" w:hint="default"/>
      </w:rPr>
    </w:lvl>
    <w:lvl w:ilvl="8" w:tplc="08090005" w:tentative="1">
      <w:start w:val="1"/>
      <w:numFmt w:val="bullet"/>
      <w:lvlText w:val=""/>
      <w:lvlJc w:val="left"/>
      <w:pPr>
        <w:ind w:left="8720" w:hanging="360"/>
      </w:pPr>
      <w:rPr>
        <w:rFonts w:ascii="Wingdings" w:hAnsi="Wingdings" w:hint="default"/>
      </w:rPr>
    </w:lvl>
  </w:abstractNum>
  <w:abstractNum w:abstractNumId="1" w15:restartNumberingAfterBreak="0">
    <w:nsid w:val="10A8322D"/>
    <w:multiLevelType w:val="hybridMultilevel"/>
    <w:tmpl w:val="B06C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5AF0"/>
    <w:multiLevelType w:val="hybridMultilevel"/>
    <w:tmpl w:val="ABD0FE4A"/>
    <w:lvl w:ilvl="0" w:tplc="2424F96A">
      <w:start w:val="1"/>
      <w:numFmt w:val="decimal"/>
      <w:lvlText w:val="%1."/>
      <w:lvlJc w:val="left"/>
      <w:pPr>
        <w:ind w:left="720" w:hanging="360"/>
      </w:pPr>
      <w:rPr>
        <w:rFonts w:ascii="Arial" w:hAnsi="Arial" w:cs="Aria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C7D3C"/>
    <w:multiLevelType w:val="hybridMultilevel"/>
    <w:tmpl w:val="E9945252"/>
    <w:lvl w:ilvl="0" w:tplc="D4B6E8E8">
      <w:start w:val="1"/>
      <w:numFmt w:val="decimal"/>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30456B"/>
    <w:multiLevelType w:val="hybridMultilevel"/>
    <w:tmpl w:val="7BAAA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CD6C73"/>
    <w:multiLevelType w:val="hybridMultilevel"/>
    <w:tmpl w:val="0ACA4A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5312D"/>
    <w:multiLevelType w:val="hybridMultilevel"/>
    <w:tmpl w:val="AC584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537EE3"/>
    <w:multiLevelType w:val="hybridMultilevel"/>
    <w:tmpl w:val="E6224008"/>
    <w:lvl w:ilvl="0" w:tplc="08090001">
      <w:start w:val="1"/>
      <w:numFmt w:val="bullet"/>
      <w:lvlText w:val=""/>
      <w:lvlJc w:val="left"/>
      <w:pPr>
        <w:ind w:left="1080" w:hanging="360"/>
      </w:pPr>
      <w:rPr>
        <w:rFonts w:ascii="Symbol" w:hAnsi="Symbol" w:hint="default"/>
      </w:rPr>
    </w:lvl>
    <w:lvl w:ilvl="1" w:tplc="C1B82116">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B77908"/>
    <w:multiLevelType w:val="hybridMultilevel"/>
    <w:tmpl w:val="4D78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FC6DC0"/>
    <w:multiLevelType w:val="hybridMultilevel"/>
    <w:tmpl w:val="AF4432A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2E3D101E"/>
    <w:multiLevelType w:val="hybridMultilevel"/>
    <w:tmpl w:val="10C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1" w15:restartNumberingAfterBreak="0">
    <w:nsid w:val="360C18B4"/>
    <w:multiLevelType w:val="hybridMultilevel"/>
    <w:tmpl w:val="7318CC02"/>
    <w:lvl w:ilvl="0" w:tplc="520019D6">
      <w:start w:val="5"/>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90C4626"/>
    <w:multiLevelType w:val="hybridMultilevel"/>
    <w:tmpl w:val="B75E0A72"/>
    <w:lvl w:ilvl="0" w:tplc="D4B6E8E8">
      <w:start w:val="1"/>
      <w:numFmt w:val="decimal"/>
      <w:lvlText w:val="%1."/>
      <w:lvlJc w:val="left"/>
      <w:pPr>
        <w:ind w:left="108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B4D50"/>
    <w:multiLevelType w:val="hybridMultilevel"/>
    <w:tmpl w:val="310CF296"/>
    <w:lvl w:ilvl="0" w:tplc="C1348998">
      <w:start w:val="1"/>
      <w:numFmt w:val="decimal"/>
      <w:lvlText w:val="%1."/>
      <w:lvlJc w:val="left"/>
      <w:pPr>
        <w:ind w:left="1069" w:hanging="360"/>
      </w:pPr>
      <w:rPr>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F5849CD"/>
    <w:multiLevelType w:val="multilevel"/>
    <w:tmpl w:val="97307376"/>
    <w:lvl w:ilvl="0">
      <w:start w:val="1"/>
      <w:numFmt w:val="decimal"/>
      <w:lvlText w:val="%1."/>
      <w:lvlJc w:val="left"/>
      <w:pPr>
        <w:ind w:left="720" w:hanging="360"/>
      </w:pPr>
      <w:rPr>
        <w:rFonts w:ascii="Arial" w:hAnsi="Arial" w:cs="Arial" w:hint="default"/>
        <w:b/>
        <w:sz w:val="24"/>
        <w:szCs w:val="24"/>
      </w:rPr>
    </w:lvl>
    <w:lvl w:ilvl="1">
      <w:start w:val="1"/>
      <w:numFmt w:val="decimal"/>
      <w:lvlText w:val="%2"/>
      <w:lvlJc w:val="left"/>
      <w:pPr>
        <w:ind w:left="1114" w:hanging="40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D8148A"/>
    <w:multiLevelType w:val="hybridMultilevel"/>
    <w:tmpl w:val="665C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21B58"/>
    <w:multiLevelType w:val="multilevel"/>
    <w:tmpl w:val="4BD8FB00"/>
    <w:lvl w:ilvl="0">
      <w:start w:val="5"/>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62A940B3"/>
    <w:multiLevelType w:val="multilevel"/>
    <w:tmpl w:val="572213B0"/>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086172"/>
    <w:multiLevelType w:val="hybridMultilevel"/>
    <w:tmpl w:val="D5B2CC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67C42260"/>
    <w:multiLevelType w:val="hybridMultilevel"/>
    <w:tmpl w:val="E1868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AE059EC"/>
    <w:multiLevelType w:val="hybridMultilevel"/>
    <w:tmpl w:val="E68E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142B8D"/>
    <w:multiLevelType w:val="hybridMultilevel"/>
    <w:tmpl w:val="EEA03290"/>
    <w:lvl w:ilvl="0" w:tplc="83B41B54">
      <w:start w:val="1"/>
      <w:numFmt w:val="decimal"/>
      <w:lvlText w:val="%1."/>
      <w:lvlJc w:val="left"/>
      <w:pPr>
        <w:ind w:left="108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24" w15:restartNumberingAfterBreak="0">
    <w:nsid w:val="76AF5ED6"/>
    <w:multiLevelType w:val="multilevel"/>
    <w:tmpl w:val="776C00A6"/>
    <w:lvl w:ilvl="0">
      <w:start w:val="1"/>
      <w:numFmt w:val="decimal"/>
      <w:lvlText w:val="%1."/>
      <w:lvlJc w:val="left"/>
      <w:pPr>
        <w:ind w:left="720" w:hanging="360"/>
      </w:pPr>
      <w:rPr>
        <w:rFonts w:ascii="Arial" w:hAnsi="Arial" w:cs="Arial" w:hint="default"/>
        <w:b/>
        <w:sz w:val="24"/>
        <w:szCs w:val="24"/>
      </w:rPr>
    </w:lvl>
    <w:lvl w:ilvl="1">
      <w:start w:val="1"/>
      <w:numFmt w:val="decimal"/>
      <w:lvlText w:val="%2"/>
      <w:lvlJc w:val="left"/>
      <w:pPr>
        <w:ind w:left="1114"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7D865B9E"/>
    <w:multiLevelType w:val="multilevel"/>
    <w:tmpl w:val="97307376"/>
    <w:lvl w:ilvl="0">
      <w:start w:val="1"/>
      <w:numFmt w:val="decimal"/>
      <w:lvlText w:val="%1."/>
      <w:lvlJc w:val="left"/>
      <w:pPr>
        <w:ind w:left="720" w:hanging="360"/>
      </w:pPr>
      <w:rPr>
        <w:rFonts w:ascii="Arial" w:hAnsi="Arial" w:cs="Arial" w:hint="default"/>
        <w:b/>
        <w:sz w:val="24"/>
        <w:szCs w:val="24"/>
      </w:rPr>
    </w:lvl>
    <w:lvl w:ilvl="1">
      <w:start w:val="1"/>
      <w:numFmt w:val="decimal"/>
      <w:lvlText w:val="%2"/>
      <w:lvlJc w:val="left"/>
      <w:pPr>
        <w:ind w:left="1114" w:hanging="405"/>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15:restartNumberingAfterBreak="0">
    <w:nsid w:val="7FA7079D"/>
    <w:multiLevelType w:val="hybridMultilevel"/>
    <w:tmpl w:val="9134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18"/>
  </w:num>
  <w:num w:numId="5">
    <w:abstractNumId w:val="0"/>
  </w:num>
  <w:num w:numId="6">
    <w:abstractNumId w:val="8"/>
  </w:num>
  <w:num w:numId="7">
    <w:abstractNumId w:val="20"/>
  </w:num>
  <w:num w:numId="8">
    <w:abstractNumId w:val="4"/>
  </w:num>
  <w:num w:numId="9">
    <w:abstractNumId w:val="7"/>
  </w:num>
  <w:num w:numId="10">
    <w:abstractNumId w:val="2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13"/>
  </w:num>
  <w:num w:numId="15">
    <w:abstractNumId w:val="22"/>
  </w:num>
  <w:num w:numId="16">
    <w:abstractNumId w:val="3"/>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6"/>
  </w:num>
  <w:num w:numId="25">
    <w:abstractNumId w:val="26"/>
  </w:num>
  <w:num w:numId="26">
    <w:abstractNumId w:val="1"/>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FF5"/>
    <w:rsid w:val="00000C67"/>
    <w:rsid w:val="00002A38"/>
    <w:rsid w:val="0000341C"/>
    <w:rsid w:val="0001202C"/>
    <w:rsid w:val="000142AB"/>
    <w:rsid w:val="0001761C"/>
    <w:rsid w:val="000226CA"/>
    <w:rsid w:val="00025912"/>
    <w:rsid w:val="00033AC0"/>
    <w:rsid w:val="0004747B"/>
    <w:rsid w:val="000626FB"/>
    <w:rsid w:val="00070D91"/>
    <w:rsid w:val="0007239F"/>
    <w:rsid w:val="00074C52"/>
    <w:rsid w:val="00080210"/>
    <w:rsid w:val="00084E23"/>
    <w:rsid w:val="000B384A"/>
    <w:rsid w:val="000D255A"/>
    <w:rsid w:val="000D3F4F"/>
    <w:rsid w:val="00115733"/>
    <w:rsid w:val="001212DF"/>
    <w:rsid w:val="00123A7E"/>
    <w:rsid w:val="00127ABF"/>
    <w:rsid w:val="00132283"/>
    <w:rsid w:val="001323C3"/>
    <w:rsid w:val="00143800"/>
    <w:rsid w:val="0015518D"/>
    <w:rsid w:val="0016365D"/>
    <w:rsid w:val="00170518"/>
    <w:rsid w:val="001715DE"/>
    <w:rsid w:val="001A77EE"/>
    <w:rsid w:val="001B06E2"/>
    <w:rsid w:val="001B625D"/>
    <w:rsid w:val="001C380F"/>
    <w:rsid w:val="001D402B"/>
    <w:rsid w:val="001E5C01"/>
    <w:rsid w:val="0020078D"/>
    <w:rsid w:val="00202882"/>
    <w:rsid w:val="00206EB6"/>
    <w:rsid w:val="00243528"/>
    <w:rsid w:val="00243C29"/>
    <w:rsid w:val="00263E5B"/>
    <w:rsid w:val="00274054"/>
    <w:rsid w:val="002819E6"/>
    <w:rsid w:val="002A7EFF"/>
    <w:rsid w:val="002D1497"/>
    <w:rsid w:val="002E27F0"/>
    <w:rsid w:val="002F015C"/>
    <w:rsid w:val="002F782B"/>
    <w:rsid w:val="00346792"/>
    <w:rsid w:val="00355015"/>
    <w:rsid w:val="00356081"/>
    <w:rsid w:val="00361D8A"/>
    <w:rsid w:val="00366E54"/>
    <w:rsid w:val="00376E6C"/>
    <w:rsid w:val="0038348C"/>
    <w:rsid w:val="00390E0C"/>
    <w:rsid w:val="003A2D2B"/>
    <w:rsid w:val="003A65F7"/>
    <w:rsid w:val="003B23D6"/>
    <w:rsid w:val="003E408C"/>
    <w:rsid w:val="003F4135"/>
    <w:rsid w:val="003F5A9E"/>
    <w:rsid w:val="00400016"/>
    <w:rsid w:val="00402E42"/>
    <w:rsid w:val="00402E4B"/>
    <w:rsid w:val="00402E9E"/>
    <w:rsid w:val="00417D26"/>
    <w:rsid w:val="00424FC9"/>
    <w:rsid w:val="0043516E"/>
    <w:rsid w:val="00444B75"/>
    <w:rsid w:val="004571F2"/>
    <w:rsid w:val="00465F5E"/>
    <w:rsid w:val="004757FF"/>
    <w:rsid w:val="00483CA6"/>
    <w:rsid w:val="00487712"/>
    <w:rsid w:val="004A2C13"/>
    <w:rsid w:val="004A7617"/>
    <w:rsid w:val="004B45FF"/>
    <w:rsid w:val="0050360F"/>
    <w:rsid w:val="00517ADD"/>
    <w:rsid w:val="00525D4D"/>
    <w:rsid w:val="005279D8"/>
    <w:rsid w:val="005334BB"/>
    <w:rsid w:val="005450C4"/>
    <w:rsid w:val="00546B58"/>
    <w:rsid w:val="00547214"/>
    <w:rsid w:val="0057636F"/>
    <w:rsid w:val="00577FC3"/>
    <w:rsid w:val="00587DC0"/>
    <w:rsid w:val="005979E4"/>
    <w:rsid w:val="005A0A84"/>
    <w:rsid w:val="005B3595"/>
    <w:rsid w:val="005C1A4A"/>
    <w:rsid w:val="005C5C0C"/>
    <w:rsid w:val="005C7687"/>
    <w:rsid w:val="005D71F2"/>
    <w:rsid w:val="005E1F13"/>
    <w:rsid w:val="005E55D4"/>
    <w:rsid w:val="005F5119"/>
    <w:rsid w:val="005F657F"/>
    <w:rsid w:val="00620231"/>
    <w:rsid w:val="00646775"/>
    <w:rsid w:val="00656C15"/>
    <w:rsid w:val="00662117"/>
    <w:rsid w:val="00675A91"/>
    <w:rsid w:val="006776A1"/>
    <w:rsid w:val="0068357A"/>
    <w:rsid w:val="006A5296"/>
    <w:rsid w:val="006B079B"/>
    <w:rsid w:val="006C1E73"/>
    <w:rsid w:val="006C4BB3"/>
    <w:rsid w:val="006C6125"/>
    <w:rsid w:val="006C659D"/>
    <w:rsid w:val="006C73EA"/>
    <w:rsid w:val="006D31EB"/>
    <w:rsid w:val="006D46D5"/>
    <w:rsid w:val="006D5E9C"/>
    <w:rsid w:val="006E17C0"/>
    <w:rsid w:val="006E6E1D"/>
    <w:rsid w:val="00700A8F"/>
    <w:rsid w:val="007020F6"/>
    <w:rsid w:val="00705481"/>
    <w:rsid w:val="00711BFA"/>
    <w:rsid w:val="00715B0F"/>
    <w:rsid w:val="007247BA"/>
    <w:rsid w:val="00731771"/>
    <w:rsid w:val="007403B3"/>
    <w:rsid w:val="00757F3B"/>
    <w:rsid w:val="00761300"/>
    <w:rsid w:val="007623DB"/>
    <w:rsid w:val="00767FD3"/>
    <w:rsid w:val="00782990"/>
    <w:rsid w:val="00791EB7"/>
    <w:rsid w:val="007A714B"/>
    <w:rsid w:val="007B0BE6"/>
    <w:rsid w:val="007D1DC3"/>
    <w:rsid w:val="007D6581"/>
    <w:rsid w:val="007E18CD"/>
    <w:rsid w:val="007E4583"/>
    <w:rsid w:val="007F06E1"/>
    <w:rsid w:val="007F5CA5"/>
    <w:rsid w:val="0080529E"/>
    <w:rsid w:val="00806DDD"/>
    <w:rsid w:val="00815880"/>
    <w:rsid w:val="00815AB5"/>
    <w:rsid w:val="00815B70"/>
    <w:rsid w:val="00822706"/>
    <w:rsid w:val="008237CF"/>
    <w:rsid w:val="00824982"/>
    <w:rsid w:val="00836118"/>
    <w:rsid w:val="00837001"/>
    <w:rsid w:val="00840225"/>
    <w:rsid w:val="008407EB"/>
    <w:rsid w:val="00846005"/>
    <w:rsid w:val="00847555"/>
    <w:rsid w:val="00860458"/>
    <w:rsid w:val="00867278"/>
    <w:rsid w:val="008766F3"/>
    <w:rsid w:val="00877DB4"/>
    <w:rsid w:val="008B4D6A"/>
    <w:rsid w:val="008B55DB"/>
    <w:rsid w:val="008B5EAC"/>
    <w:rsid w:val="008C26B8"/>
    <w:rsid w:val="008F260E"/>
    <w:rsid w:val="008F5848"/>
    <w:rsid w:val="008F5DF0"/>
    <w:rsid w:val="0090662A"/>
    <w:rsid w:val="00927CD4"/>
    <w:rsid w:val="00965E6A"/>
    <w:rsid w:val="00981005"/>
    <w:rsid w:val="00982934"/>
    <w:rsid w:val="009A3255"/>
    <w:rsid w:val="009A3AAE"/>
    <w:rsid w:val="009B15E2"/>
    <w:rsid w:val="009D2C52"/>
    <w:rsid w:val="009F7194"/>
    <w:rsid w:val="00A0041E"/>
    <w:rsid w:val="00A305DB"/>
    <w:rsid w:val="00A3701C"/>
    <w:rsid w:val="00A4020A"/>
    <w:rsid w:val="00A50BEA"/>
    <w:rsid w:val="00A557FB"/>
    <w:rsid w:val="00A8209A"/>
    <w:rsid w:val="00AB3EE7"/>
    <w:rsid w:val="00AC2462"/>
    <w:rsid w:val="00AD425A"/>
    <w:rsid w:val="00AF5D6A"/>
    <w:rsid w:val="00B01E35"/>
    <w:rsid w:val="00B11DFC"/>
    <w:rsid w:val="00B146F6"/>
    <w:rsid w:val="00B23720"/>
    <w:rsid w:val="00B41D9D"/>
    <w:rsid w:val="00B538B1"/>
    <w:rsid w:val="00B663CE"/>
    <w:rsid w:val="00B716EA"/>
    <w:rsid w:val="00B77AC3"/>
    <w:rsid w:val="00B93ADA"/>
    <w:rsid w:val="00B95852"/>
    <w:rsid w:val="00BA2A76"/>
    <w:rsid w:val="00BA4E2F"/>
    <w:rsid w:val="00BB4F8C"/>
    <w:rsid w:val="00BD2D0B"/>
    <w:rsid w:val="00BD2F2D"/>
    <w:rsid w:val="00BD496E"/>
    <w:rsid w:val="00BE1D7D"/>
    <w:rsid w:val="00BF2AD9"/>
    <w:rsid w:val="00BF3B93"/>
    <w:rsid w:val="00C10A68"/>
    <w:rsid w:val="00C53810"/>
    <w:rsid w:val="00C544F8"/>
    <w:rsid w:val="00C546F1"/>
    <w:rsid w:val="00C80F74"/>
    <w:rsid w:val="00C81DFC"/>
    <w:rsid w:val="00C84B1C"/>
    <w:rsid w:val="00C86782"/>
    <w:rsid w:val="00C964E8"/>
    <w:rsid w:val="00CA7661"/>
    <w:rsid w:val="00CC085D"/>
    <w:rsid w:val="00CC7A68"/>
    <w:rsid w:val="00CE7394"/>
    <w:rsid w:val="00CF329D"/>
    <w:rsid w:val="00CF644C"/>
    <w:rsid w:val="00D05C76"/>
    <w:rsid w:val="00D07F7D"/>
    <w:rsid w:val="00D34FF5"/>
    <w:rsid w:val="00D3663D"/>
    <w:rsid w:val="00D47EBA"/>
    <w:rsid w:val="00D77C47"/>
    <w:rsid w:val="00D87F7B"/>
    <w:rsid w:val="00DA693D"/>
    <w:rsid w:val="00DB2B97"/>
    <w:rsid w:val="00DC09D5"/>
    <w:rsid w:val="00DE2340"/>
    <w:rsid w:val="00DE5131"/>
    <w:rsid w:val="00DF1D3C"/>
    <w:rsid w:val="00DF3017"/>
    <w:rsid w:val="00E0146D"/>
    <w:rsid w:val="00E01AF3"/>
    <w:rsid w:val="00E10531"/>
    <w:rsid w:val="00E24AD5"/>
    <w:rsid w:val="00E347B2"/>
    <w:rsid w:val="00E361E0"/>
    <w:rsid w:val="00E3634E"/>
    <w:rsid w:val="00E376A9"/>
    <w:rsid w:val="00E40EEF"/>
    <w:rsid w:val="00E468DD"/>
    <w:rsid w:val="00E50C89"/>
    <w:rsid w:val="00E61486"/>
    <w:rsid w:val="00E763BD"/>
    <w:rsid w:val="00E85368"/>
    <w:rsid w:val="00E933D7"/>
    <w:rsid w:val="00E963E9"/>
    <w:rsid w:val="00EB1BA0"/>
    <w:rsid w:val="00EC1748"/>
    <w:rsid w:val="00EC667E"/>
    <w:rsid w:val="00EE125C"/>
    <w:rsid w:val="00EE2CA3"/>
    <w:rsid w:val="00EE4C67"/>
    <w:rsid w:val="00EE609D"/>
    <w:rsid w:val="00EE6EB7"/>
    <w:rsid w:val="00EF398B"/>
    <w:rsid w:val="00EF3B93"/>
    <w:rsid w:val="00EF4AE4"/>
    <w:rsid w:val="00EF7277"/>
    <w:rsid w:val="00F01246"/>
    <w:rsid w:val="00F02FF4"/>
    <w:rsid w:val="00F047C5"/>
    <w:rsid w:val="00F07E46"/>
    <w:rsid w:val="00F31F3C"/>
    <w:rsid w:val="00F472C5"/>
    <w:rsid w:val="00F47AA9"/>
    <w:rsid w:val="00F51BFE"/>
    <w:rsid w:val="00F56153"/>
    <w:rsid w:val="00F63E73"/>
    <w:rsid w:val="00F67B67"/>
    <w:rsid w:val="00F71BFA"/>
    <w:rsid w:val="00F8093B"/>
    <w:rsid w:val="00F81B71"/>
    <w:rsid w:val="00F82F3D"/>
    <w:rsid w:val="00F8626C"/>
    <w:rsid w:val="00FC7D14"/>
    <w:rsid w:val="00FD4A89"/>
    <w:rsid w:val="00FE17D2"/>
    <w:rsid w:val="00FE5097"/>
    <w:rsid w:val="00FE648F"/>
    <w:rsid w:val="00FE6DED"/>
    <w:rsid w:val="00FF038A"/>
    <w:rsid w:val="00FF2EEB"/>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49CE7F"/>
  <w15:docId w15:val="{6580E59E-9CA5-4F7F-B9AD-4E7FB0B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46D"/>
    <w:pPr>
      <w:spacing w:after="200" w:line="276" w:lineRule="auto"/>
      <w:ind w:left="737"/>
    </w:pPr>
    <w:rPr>
      <w:rFonts w:ascii="Arial" w:hAnsi="Arial"/>
      <w:sz w:val="24"/>
      <w:szCs w:val="22"/>
      <w:lang w:eastAsia="en-US"/>
    </w:rPr>
  </w:style>
  <w:style w:type="paragraph" w:styleId="Heading1">
    <w:name w:val="heading 1"/>
    <w:basedOn w:val="Normal"/>
    <w:next w:val="Normal"/>
    <w:link w:val="Heading1Char"/>
    <w:uiPriority w:val="9"/>
    <w:qFormat/>
    <w:rsid w:val="00033AC0"/>
    <w:pPr>
      <w:keepNext/>
      <w:keepLines/>
      <w:numPr>
        <w:numId w:val="4"/>
      </w:numPr>
      <w:spacing w:before="360" w:after="240"/>
      <w:ind w:left="709" w:hanging="709"/>
      <w:outlineLvl w:val="0"/>
    </w:pPr>
    <w:rPr>
      <w:rFonts w:cs="Arial"/>
      <w:b/>
      <w:bCs/>
      <w:sz w:val="28"/>
      <w:szCs w:val="28"/>
      <w:lang w:eastAsia="en-GB"/>
    </w:rPr>
  </w:style>
  <w:style w:type="paragraph" w:styleId="Heading2">
    <w:name w:val="heading 2"/>
    <w:basedOn w:val="Normal"/>
    <w:next w:val="Normal"/>
    <w:link w:val="Heading2Char"/>
    <w:uiPriority w:val="9"/>
    <w:unhideWhenUsed/>
    <w:qFormat/>
    <w:rsid w:val="00033AC0"/>
    <w:pPr>
      <w:keepNext/>
      <w:keepLines/>
      <w:numPr>
        <w:ilvl w:val="1"/>
        <w:numId w:val="4"/>
      </w:numPr>
      <w:spacing w:before="200" w:after="120"/>
      <w:ind w:left="709" w:hanging="709"/>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4"/>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4"/>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4"/>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4"/>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4"/>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4"/>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2"/>
      </w:numPr>
      <w:spacing w:before="200" w:after="0"/>
      <w:ind w:left="1584" w:hanging="1584"/>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uiPriority w:val="34"/>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033AC0"/>
    <w:rPr>
      <w:rFonts w:ascii="Arial" w:hAnsi="Arial" w:cs="Arial"/>
      <w:b/>
      <w:bCs/>
      <w:sz w:val="28"/>
      <w:szCs w:val="28"/>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rPr>
      <w:rFonts w:cs="Times New Roman"/>
    </w:r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982934"/>
    <w:pPr>
      <w:numPr>
        <w:numId w:val="0"/>
      </w:numPr>
      <w:tabs>
        <w:tab w:val="left" w:pos="567"/>
        <w:tab w:val="right" w:leader="dot" w:pos="10195"/>
      </w:tabs>
      <w:spacing w:before="120" w:after="0"/>
    </w:pPr>
    <w:rPr>
      <w:b w:val="0"/>
      <w:bCs w:val="0"/>
      <w:iCs/>
      <w:sz w:val="24"/>
      <w:szCs w:val="24"/>
    </w:rPr>
  </w:style>
  <w:style w:type="paragraph" w:styleId="TOC2">
    <w:name w:val="toc 2"/>
    <w:basedOn w:val="Normal"/>
    <w:next w:val="Normal"/>
    <w:autoRedefine/>
    <w:uiPriority w:val="39"/>
    <w:rsid w:val="00982934"/>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iPriority w:val="99"/>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033AC0"/>
    <w:pPr>
      <w:numPr>
        <w:numId w:val="5"/>
      </w:numPr>
      <w:spacing w:after="120"/>
      <w:ind w:left="1134" w:hanging="425"/>
      <w:contextualSpacing/>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033AC0"/>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37248850">
      <w:bodyDiv w:val="1"/>
      <w:marLeft w:val="0"/>
      <w:marRight w:val="0"/>
      <w:marTop w:val="0"/>
      <w:marBottom w:val="0"/>
      <w:divBdr>
        <w:top w:val="none" w:sz="0" w:space="0" w:color="auto"/>
        <w:left w:val="none" w:sz="0" w:space="0" w:color="auto"/>
        <w:bottom w:val="none" w:sz="0" w:space="0" w:color="auto"/>
        <w:right w:val="none" w:sz="0" w:space="0" w:color="auto"/>
      </w:divBdr>
    </w:div>
    <w:div w:id="65929984">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199172107">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864250675">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076904553">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2932109">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625888171">
      <w:bodyDiv w:val="1"/>
      <w:marLeft w:val="0"/>
      <w:marRight w:val="0"/>
      <w:marTop w:val="0"/>
      <w:marBottom w:val="0"/>
      <w:divBdr>
        <w:top w:val="none" w:sz="0" w:space="0" w:color="auto"/>
        <w:left w:val="none" w:sz="0" w:space="0" w:color="auto"/>
        <w:bottom w:val="none" w:sz="0" w:space="0" w:color="auto"/>
        <w:right w:val="none" w:sz="0" w:space="0" w:color="auto"/>
      </w:divBdr>
    </w:div>
    <w:div w:id="1706296007">
      <w:bodyDiv w:val="1"/>
      <w:marLeft w:val="0"/>
      <w:marRight w:val="0"/>
      <w:marTop w:val="0"/>
      <w:marBottom w:val="0"/>
      <w:divBdr>
        <w:top w:val="none" w:sz="0" w:space="0" w:color="auto"/>
        <w:left w:val="none" w:sz="0" w:space="0" w:color="auto"/>
        <w:bottom w:val="none" w:sz="0" w:space="0" w:color="auto"/>
        <w:right w:val="none" w:sz="0" w:space="0" w:color="auto"/>
      </w:divBdr>
    </w:div>
    <w:div w:id="1719087313">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 w:id="21285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AAB0-B74C-40BF-80E3-B315E725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24170</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Sanderson Helen</dc:creator>
  <cp:lastModifiedBy>SANDERSON, Helen (NHS NORTH OF ENGLAND COMMISSIONING SUPPORT UNIT)</cp:lastModifiedBy>
  <cp:revision>4</cp:revision>
  <cp:lastPrinted>2020-12-10T13:50:00Z</cp:lastPrinted>
  <dcterms:created xsi:type="dcterms:W3CDTF">2021-03-30T10:27:00Z</dcterms:created>
  <dcterms:modified xsi:type="dcterms:W3CDTF">2021-03-30T15:31:00Z</dcterms:modified>
</cp:coreProperties>
</file>