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53" w:rsidRPr="00411C53" w:rsidRDefault="00411C53" w:rsidP="00411C53">
      <w:pPr>
        <w:spacing w:after="0"/>
        <w:rPr>
          <w:rFonts w:ascii="Arial" w:hAnsi="Arial" w:cs="Arial"/>
          <w:b/>
          <w:bCs/>
          <w:color w:val="FF0000"/>
          <w:sz w:val="72"/>
          <w:szCs w:val="72"/>
        </w:rPr>
      </w:pPr>
      <w:r w:rsidRPr="00411C53">
        <w:rPr>
          <w:rFonts w:ascii="Arial" w:hAnsi="Arial" w:cs="Arial"/>
          <w:b/>
          <w:bCs/>
          <w:color w:val="FF0000"/>
          <w:sz w:val="72"/>
          <w:szCs w:val="72"/>
          <w:lang w:eastAsia="en-GB"/>
        </w:rPr>
        <w:t>COVID-19 update</w:t>
      </w:r>
    </w:p>
    <w:p w:rsidR="00411C53" w:rsidRPr="00411C53" w:rsidRDefault="00411C53" w:rsidP="00411C53">
      <w:pPr>
        <w:spacing w:after="0"/>
        <w:jc w:val="right"/>
        <w:rPr>
          <w:rFonts w:ascii="Arial" w:hAnsi="Arial" w:cs="Arial"/>
          <w:b/>
          <w:bCs/>
          <w:color w:val="FF0000"/>
          <w:sz w:val="24"/>
          <w:szCs w:val="24"/>
          <w:lang w:eastAsia="en-GB"/>
        </w:rPr>
      </w:pPr>
      <w:r w:rsidRPr="00411C53">
        <w:rPr>
          <w:rFonts w:ascii="Arial" w:hAnsi="Arial" w:cs="Arial"/>
          <w:b/>
          <w:bCs/>
          <w:color w:val="FF0000"/>
          <w:sz w:val="24"/>
          <w:szCs w:val="24"/>
          <w:lang w:eastAsia="en-GB"/>
        </w:rPr>
        <w:t>Information correct as of 4pm 11 June 2020</w:t>
      </w:r>
    </w:p>
    <w:p w:rsidR="00411C53" w:rsidRPr="00411C53" w:rsidRDefault="00411C53" w:rsidP="00411C53">
      <w:pPr>
        <w:spacing w:after="0"/>
        <w:jc w:val="right"/>
        <w:rPr>
          <w:rFonts w:ascii="Arial" w:hAnsi="Arial" w:cs="Arial"/>
          <w:color w:val="FF0000"/>
          <w:sz w:val="12"/>
          <w:szCs w:val="12"/>
        </w:rPr>
      </w:pPr>
    </w:p>
    <w:p w:rsidR="00411C53" w:rsidRPr="00411C53" w:rsidRDefault="00411C53" w:rsidP="00411C53">
      <w:pPr>
        <w:spacing w:after="0"/>
        <w:rPr>
          <w:rFonts w:ascii="Arial" w:hAnsi="Arial" w:cs="Arial"/>
          <w:b/>
          <w:bCs/>
          <w:color w:val="FF0000"/>
          <w:sz w:val="28"/>
          <w:szCs w:val="28"/>
          <w:lang w:eastAsia="en-GB"/>
        </w:rPr>
      </w:pPr>
      <w:r w:rsidRPr="00411C53">
        <w:rPr>
          <w:rFonts w:ascii="Arial" w:hAnsi="Arial" w:cs="Arial"/>
          <w:b/>
          <w:bCs/>
          <w:color w:val="FF0000"/>
          <w:sz w:val="28"/>
          <w:szCs w:val="28"/>
          <w:lang w:eastAsia="en-GB"/>
        </w:rPr>
        <w:t>In this edition</w:t>
      </w:r>
    </w:p>
    <w:p w:rsidR="00411C53" w:rsidRPr="00411C53" w:rsidRDefault="00411C53" w:rsidP="00411C53">
      <w:pPr>
        <w:spacing w:after="0"/>
        <w:rPr>
          <w:rFonts w:ascii="Arial" w:hAnsi="Arial" w:cs="Arial"/>
          <w:color w:val="FF0000"/>
          <w:sz w:val="12"/>
          <w:szCs w:val="12"/>
          <w:lang w:eastAsia="en-GB"/>
        </w:rPr>
      </w:pPr>
    </w:p>
    <w:p w:rsidR="00411C53" w:rsidRPr="00411C53" w:rsidRDefault="00411C53" w:rsidP="00411C53">
      <w:pPr>
        <w:numPr>
          <w:ilvl w:val="0"/>
          <w:numId w:val="1"/>
        </w:numPr>
        <w:spacing w:after="0" w:line="240" w:lineRule="auto"/>
        <w:rPr>
          <w:rFonts w:ascii="Arial" w:hAnsi="Arial" w:cs="Arial"/>
          <w:color w:val="FF0000"/>
          <w:sz w:val="28"/>
          <w:szCs w:val="28"/>
          <w:lang w:eastAsia="en-GB"/>
        </w:rPr>
      </w:pPr>
      <w:r w:rsidRPr="00411C53">
        <w:rPr>
          <w:rFonts w:ascii="Arial" w:hAnsi="Arial" w:cs="Arial"/>
          <w:color w:val="FF0000"/>
          <w:sz w:val="28"/>
          <w:szCs w:val="28"/>
          <w:lang w:eastAsia="en-GB"/>
        </w:rPr>
        <w:t>Updates to the COVID-19 web page</w:t>
      </w:r>
    </w:p>
    <w:p w:rsidR="00411C53" w:rsidRPr="00411C53" w:rsidRDefault="00411C53" w:rsidP="00411C53">
      <w:pPr>
        <w:numPr>
          <w:ilvl w:val="0"/>
          <w:numId w:val="1"/>
        </w:numPr>
        <w:spacing w:after="0" w:line="240" w:lineRule="auto"/>
        <w:rPr>
          <w:rFonts w:ascii="Arial" w:hAnsi="Arial" w:cs="Arial"/>
          <w:color w:val="FF0000"/>
          <w:sz w:val="28"/>
          <w:szCs w:val="28"/>
        </w:rPr>
      </w:pPr>
      <w:r w:rsidRPr="00411C53">
        <w:rPr>
          <w:rFonts w:ascii="Arial" w:hAnsi="Arial" w:cs="Arial"/>
          <w:color w:val="FF0000"/>
          <w:sz w:val="28"/>
          <w:szCs w:val="28"/>
        </w:rPr>
        <w:t>Direction of Prescriptions</w:t>
      </w:r>
    </w:p>
    <w:p w:rsidR="00411C53" w:rsidRPr="00411C53" w:rsidRDefault="00411C53" w:rsidP="00411C53">
      <w:pPr>
        <w:numPr>
          <w:ilvl w:val="0"/>
          <w:numId w:val="2"/>
        </w:numPr>
        <w:spacing w:after="0" w:line="240" w:lineRule="auto"/>
        <w:rPr>
          <w:rFonts w:ascii="Arial" w:hAnsi="Arial" w:cs="Arial"/>
          <w:color w:val="FF0000"/>
          <w:sz w:val="24"/>
          <w:szCs w:val="24"/>
          <w:lang w:eastAsia="en-GB"/>
        </w:rPr>
      </w:pPr>
      <w:r w:rsidRPr="00411C53">
        <w:rPr>
          <w:rFonts w:ascii="Arial" w:hAnsi="Arial" w:cs="Arial"/>
          <w:color w:val="FF0000"/>
          <w:sz w:val="24"/>
          <w:szCs w:val="24"/>
        </w:rPr>
        <w:t>EPS nomination and direction of electronic prescriptions</w:t>
      </w:r>
    </w:p>
    <w:p w:rsidR="00411C53" w:rsidRPr="00411C53" w:rsidRDefault="00411C53" w:rsidP="00411C53">
      <w:pPr>
        <w:numPr>
          <w:ilvl w:val="0"/>
          <w:numId w:val="2"/>
        </w:numPr>
        <w:spacing w:after="0" w:line="240" w:lineRule="auto"/>
        <w:rPr>
          <w:rFonts w:ascii="Arial" w:hAnsi="Arial" w:cs="Arial"/>
          <w:color w:val="FF0000"/>
          <w:sz w:val="24"/>
          <w:szCs w:val="24"/>
          <w:lang w:eastAsia="en-GB"/>
        </w:rPr>
      </w:pPr>
      <w:r w:rsidRPr="00411C53">
        <w:rPr>
          <w:rFonts w:ascii="Arial" w:hAnsi="Arial" w:cs="Arial"/>
          <w:color w:val="FF0000"/>
          <w:sz w:val="24"/>
          <w:szCs w:val="24"/>
          <w:lang w:eastAsia="en-GB"/>
        </w:rPr>
        <w:t>Freedom of choice</w:t>
      </w:r>
    </w:p>
    <w:p w:rsidR="00411C53" w:rsidRPr="00411C53" w:rsidRDefault="00411C53" w:rsidP="00411C53">
      <w:pPr>
        <w:spacing w:after="0"/>
        <w:rPr>
          <w:rFonts w:ascii="Arial" w:hAnsi="Arial" w:cs="Arial"/>
          <w:color w:val="FF0000"/>
          <w:sz w:val="12"/>
          <w:szCs w:val="12"/>
          <w:lang w:eastAsia="en-GB"/>
        </w:rPr>
      </w:pPr>
    </w:p>
    <w:p w:rsidR="00411C53" w:rsidRPr="00411C53" w:rsidRDefault="00411C53" w:rsidP="00411C53">
      <w:pPr>
        <w:spacing w:after="0"/>
        <w:rPr>
          <w:rFonts w:ascii="Arial" w:hAnsi="Arial" w:cs="Arial"/>
          <w:b/>
          <w:bCs/>
          <w:color w:val="000000"/>
          <w:sz w:val="24"/>
          <w:szCs w:val="24"/>
          <w:lang w:eastAsia="en-GB"/>
        </w:rPr>
      </w:pPr>
      <w:r w:rsidRPr="00411C53">
        <w:rPr>
          <w:rFonts w:ascii="Arial" w:hAnsi="Arial" w:cs="Arial"/>
          <w:b/>
          <w:bCs/>
          <w:color w:val="000000"/>
          <w:sz w:val="24"/>
          <w:szCs w:val="24"/>
          <w:lang w:eastAsia="en-GB"/>
        </w:rPr>
        <w:t>Attachments</w:t>
      </w:r>
    </w:p>
    <w:p w:rsidR="00411C53" w:rsidRPr="00411C53" w:rsidRDefault="00411C53" w:rsidP="00411C53">
      <w:pPr>
        <w:spacing w:after="0"/>
        <w:rPr>
          <w:rFonts w:ascii="Arial" w:hAnsi="Arial" w:cs="Arial"/>
          <w:color w:val="000000"/>
          <w:sz w:val="12"/>
          <w:szCs w:val="12"/>
          <w:lang w:eastAsia="en-GB"/>
        </w:rPr>
      </w:pPr>
    </w:p>
    <w:p w:rsidR="00411C53" w:rsidRPr="00411C53" w:rsidRDefault="00411C53" w:rsidP="00411C53">
      <w:pPr>
        <w:numPr>
          <w:ilvl w:val="0"/>
          <w:numId w:val="3"/>
        </w:numPr>
        <w:spacing w:after="0" w:line="240" w:lineRule="auto"/>
        <w:rPr>
          <w:rFonts w:ascii="Arial" w:hAnsi="Arial" w:cs="Arial"/>
          <w:color w:val="000000"/>
          <w:sz w:val="24"/>
          <w:szCs w:val="24"/>
          <w:lang w:eastAsia="en-GB"/>
        </w:rPr>
      </w:pPr>
      <w:r w:rsidRPr="00411C53">
        <w:rPr>
          <w:rFonts w:ascii="Arial" w:hAnsi="Arial" w:cs="Arial"/>
          <w:color w:val="000000"/>
          <w:sz w:val="24"/>
          <w:szCs w:val="24"/>
          <w:lang w:eastAsia="en-GB"/>
        </w:rPr>
        <w:t>none</w:t>
      </w:r>
    </w:p>
    <w:p w:rsidR="00411C53" w:rsidRPr="00411C53" w:rsidRDefault="00411C53" w:rsidP="00411C53">
      <w:pPr>
        <w:spacing w:after="0"/>
        <w:rPr>
          <w:rFonts w:ascii="Arial" w:hAnsi="Arial" w:cs="Arial"/>
          <w:color w:val="000000"/>
          <w:sz w:val="12"/>
          <w:szCs w:val="12"/>
          <w:lang w:eastAsia="en-GB"/>
        </w:rPr>
      </w:pPr>
    </w:p>
    <w:p w:rsidR="00411C53" w:rsidRPr="00411C53" w:rsidRDefault="00411C53" w:rsidP="00411C53">
      <w:pPr>
        <w:spacing w:after="0"/>
        <w:rPr>
          <w:rFonts w:ascii="Arial" w:hAnsi="Arial" w:cs="Arial"/>
          <w:b/>
          <w:bCs/>
          <w:color w:val="000000"/>
          <w:sz w:val="24"/>
          <w:szCs w:val="24"/>
          <w:lang w:eastAsia="en-GB"/>
        </w:rPr>
      </w:pPr>
      <w:r w:rsidRPr="00411C53">
        <w:rPr>
          <w:rFonts w:ascii="Arial" w:hAnsi="Arial" w:cs="Arial"/>
          <w:sz w:val="24"/>
          <w:szCs w:val="24"/>
          <w:lang w:eastAsia="en-GB"/>
        </w:rPr>
        <w:t xml:space="preserve">All information provided in the COVID-19 bulletin is hosted online at </w:t>
      </w:r>
      <w:hyperlink r:id="rId6" w:history="1">
        <w:r w:rsidRPr="00411C53">
          <w:rPr>
            <w:rFonts w:ascii="Arial" w:hAnsi="Arial" w:cs="Arial"/>
            <w:color w:val="0070C0"/>
            <w:sz w:val="24"/>
            <w:szCs w:val="24"/>
            <w:u w:val="single"/>
            <w:lang w:eastAsia="en-GB"/>
          </w:rPr>
          <w:t>https://www.valeofyorkccg.nhs.uk/rss/home/infections-and-microbiology/covid-19/</w:t>
        </w:r>
      </w:hyperlink>
    </w:p>
    <w:p w:rsidR="00411C53" w:rsidRPr="00411C53" w:rsidRDefault="00411C53" w:rsidP="00411C53">
      <w:pPr>
        <w:spacing w:after="0"/>
        <w:rPr>
          <w:rFonts w:ascii="Arial" w:hAnsi="Arial" w:cs="Arial"/>
          <w:color w:val="FF0000"/>
          <w:sz w:val="12"/>
          <w:szCs w:val="12"/>
          <w:lang w:eastAsia="en-GB"/>
        </w:rPr>
      </w:pPr>
    </w:p>
    <w:p w:rsidR="00411C53" w:rsidRPr="00411C53" w:rsidRDefault="00411C53" w:rsidP="00411C53">
      <w:pPr>
        <w:spacing w:after="0"/>
        <w:rPr>
          <w:rFonts w:ascii="Arial" w:hAnsi="Arial" w:cs="Arial"/>
          <w:b/>
          <w:bCs/>
          <w:color w:val="FF0000"/>
          <w:sz w:val="36"/>
          <w:szCs w:val="36"/>
          <w:lang w:eastAsia="en-GB"/>
        </w:rPr>
      </w:pPr>
      <w:r w:rsidRPr="00411C53">
        <w:rPr>
          <w:rFonts w:ascii="Arial" w:hAnsi="Arial" w:cs="Arial"/>
          <w:b/>
          <w:bCs/>
          <w:color w:val="FF0000"/>
          <w:sz w:val="36"/>
          <w:szCs w:val="36"/>
          <w:lang w:eastAsia="en-GB"/>
        </w:rPr>
        <w:t>Updates to the COVID-19 web page</w:t>
      </w:r>
    </w:p>
    <w:p w:rsidR="00411C53" w:rsidRPr="00411C53" w:rsidRDefault="00411C53" w:rsidP="00411C53">
      <w:pPr>
        <w:spacing w:after="0"/>
        <w:rPr>
          <w:rFonts w:ascii="Arial" w:hAnsi="Arial" w:cs="Arial"/>
          <w:color w:val="000000"/>
          <w:sz w:val="12"/>
          <w:szCs w:val="12"/>
          <w:lang w:eastAsia="en-GB"/>
        </w:rPr>
      </w:pPr>
    </w:p>
    <w:p w:rsidR="00411C53" w:rsidRPr="00411C53" w:rsidRDefault="00411C53" w:rsidP="00411C53">
      <w:pPr>
        <w:shd w:val="clear" w:color="auto" w:fill="FFFFFF"/>
        <w:spacing w:after="0"/>
        <w:rPr>
          <w:rFonts w:ascii="Arial" w:hAnsi="Arial" w:cs="Arial"/>
          <w:color w:val="FF0000"/>
          <w:sz w:val="28"/>
          <w:szCs w:val="28"/>
          <w:lang w:eastAsia="en-GB"/>
        </w:rPr>
      </w:pPr>
      <w:r w:rsidRPr="00411C53">
        <w:rPr>
          <w:rFonts w:ascii="Arial" w:hAnsi="Arial" w:cs="Arial"/>
          <w:color w:val="FF0000"/>
          <w:sz w:val="28"/>
          <w:szCs w:val="28"/>
          <w:lang w:eastAsia="en-GB"/>
        </w:rPr>
        <w:t>National and regional updates</w:t>
      </w:r>
    </w:p>
    <w:p w:rsidR="00411C53" w:rsidRPr="00411C53" w:rsidRDefault="00411C53" w:rsidP="00411C53">
      <w:pPr>
        <w:shd w:val="clear" w:color="auto" w:fill="FFFFFF"/>
        <w:spacing w:after="0"/>
        <w:rPr>
          <w:rFonts w:ascii="Arial" w:hAnsi="Arial" w:cs="Arial"/>
          <w:color w:val="000000"/>
          <w:sz w:val="12"/>
          <w:szCs w:val="12"/>
          <w:lang w:eastAsia="en-GB"/>
        </w:rPr>
      </w:pPr>
    </w:p>
    <w:p w:rsidR="00411C53" w:rsidRPr="00411C53" w:rsidRDefault="00411C53" w:rsidP="00411C53">
      <w:pPr>
        <w:shd w:val="clear" w:color="auto" w:fill="FFFFFF"/>
        <w:spacing w:after="0"/>
        <w:rPr>
          <w:rFonts w:ascii="Arial" w:hAnsi="Arial" w:cs="Arial"/>
          <w:color w:val="231F20"/>
          <w:sz w:val="24"/>
          <w:szCs w:val="24"/>
          <w:u w:val="single"/>
          <w:lang w:eastAsia="en-GB"/>
        </w:rPr>
      </w:pPr>
      <w:hyperlink r:id="rId7" w:history="1">
        <w:r w:rsidRPr="00411C53">
          <w:rPr>
            <w:rFonts w:ascii="Arial" w:hAnsi="Arial" w:cs="Arial"/>
            <w:color w:val="005EBC"/>
            <w:sz w:val="24"/>
            <w:szCs w:val="24"/>
            <w:u w:val="single"/>
            <w:lang w:eastAsia="en-GB"/>
          </w:rPr>
          <w:t>Pregnancy and coronavirus: communication materials</w:t>
        </w:r>
      </w:hyperlink>
    </w:p>
    <w:p w:rsidR="00411C53" w:rsidRPr="00411C53" w:rsidRDefault="00411C53" w:rsidP="00411C53">
      <w:pPr>
        <w:shd w:val="clear" w:color="auto" w:fill="FFFFFF"/>
        <w:spacing w:after="0"/>
        <w:rPr>
          <w:rFonts w:ascii="Arial" w:hAnsi="Arial" w:cs="Arial"/>
          <w:color w:val="231F20"/>
          <w:sz w:val="24"/>
          <w:szCs w:val="24"/>
          <w:u w:val="single"/>
          <w:lang w:eastAsia="en-GB"/>
        </w:rPr>
      </w:pPr>
      <w:hyperlink r:id="rId8" w:history="1">
        <w:r w:rsidRPr="00411C53">
          <w:rPr>
            <w:rFonts w:ascii="Arial" w:hAnsi="Arial" w:cs="Arial"/>
            <w:color w:val="005EBC"/>
            <w:sz w:val="24"/>
            <w:szCs w:val="24"/>
            <w:u w:val="single"/>
            <w:lang w:eastAsia="en-GB"/>
          </w:rPr>
          <w:t>Covid-19 infection - Discharge from A&amp;E or GP consultation patient advice leaflet</w:t>
        </w:r>
      </w:hyperlink>
      <w:r w:rsidRPr="00411C53">
        <w:rPr>
          <w:rFonts w:ascii="Arial" w:hAnsi="Arial" w:cs="Arial"/>
          <w:color w:val="231F20"/>
          <w:sz w:val="24"/>
          <w:szCs w:val="24"/>
          <w:u w:val="single"/>
          <w:lang w:eastAsia="en-GB"/>
        </w:rPr>
        <w:t> </w:t>
      </w:r>
    </w:p>
    <w:p w:rsidR="00411C53" w:rsidRPr="00411C53" w:rsidRDefault="00411C53" w:rsidP="00411C53">
      <w:pPr>
        <w:shd w:val="clear" w:color="auto" w:fill="FFFFFF"/>
        <w:spacing w:after="0"/>
        <w:rPr>
          <w:rFonts w:ascii="Arial" w:hAnsi="Arial" w:cs="Arial"/>
          <w:color w:val="231F20"/>
          <w:sz w:val="24"/>
          <w:szCs w:val="24"/>
          <w:u w:val="single"/>
          <w:lang w:eastAsia="en-GB"/>
        </w:rPr>
      </w:pPr>
      <w:hyperlink r:id="rId9" w:history="1">
        <w:r w:rsidRPr="00411C53">
          <w:rPr>
            <w:rFonts w:ascii="Arial" w:hAnsi="Arial" w:cs="Arial"/>
            <w:color w:val="005EBC"/>
            <w:sz w:val="24"/>
            <w:szCs w:val="24"/>
            <w:u w:val="single"/>
            <w:lang w:eastAsia="en-GB"/>
          </w:rPr>
          <w:t>Covid-19 infection - Discharge from hospital stay patient advice leaflet</w:t>
        </w:r>
      </w:hyperlink>
      <w:r w:rsidRPr="00411C53">
        <w:rPr>
          <w:rFonts w:ascii="Arial" w:hAnsi="Arial" w:cs="Arial"/>
          <w:color w:val="231F20"/>
          <w:sz w:val="24"/>
          <w:szCs w:val="24"/>
          <w:u w:val="single"/>
          <w:lang w:eastAsia="en-GB"/>
        </w:rPr>
        <w:t> </w:t>
      </w:r>
    </w:p>
    <w:p w:rsidR="00411C53" w:rsidRPr="00411C53" w:rsidRDefault="00411C53" w:rsidP="00411C53">
      <w:pPr>
        <w:spacing w:after="0"/>
        <w:rPr>
          <w:rFonts w:ascii="Arial" w:hAnsi="Arial" w:cs="Arial"/>
          <w:b/>
          <w:bCs/>
          <w:color w:val="000000"/>
          <w:sz w:val="12"/>
          <w:szCs w:val="12"/>
          <w:lang w:eastAsia="en-GB"/>
        </w:rPr>
      </w:pPr>
    </w:p>
    <w:p w:rsidR="00411C53" w:rsidRPr="00411C53" w:rsidRDefault="00411C53" w:rsidP="00411C53">
      <w:pPr>
        <w:shd w:val="clear" w:color="auto" w:fill="FFFFFF"/>
        <w:spacing w:after="0"/>
        <w:rPr>
          <w:rFonts w:ascii="Arial" w:hAnsi="Arial" w:cs="Arial"/>
          <w:color w:val="FF0000"/>
          <w:sz w:val="28"/>
          <w:szCs w:val="28"/>
          <w:lang w:eastAsia="en-GB"/>
        </w:rPr>
      </w:pPr>
      <w:r w:rsidRPr="00411C53">
        <w:rPr>
          <w:rFonts w:ascii="Arial" w:hAnsi="Arial" w:cs="Arial"/>
          <w:color w:val="FF0000"/>
          <w:sz w:val="28"/>
          <w:szCs w:val="28"/>
          <w:lang w:eastAsia="en-GB"/>
        </w:rPr>
        <w:t>Prescribing and Community Pharmacy updates</w:t>
      </w:r>
    </w:p>
    <w:p w:rsidR="00411C53" w:rsidRPr="00411C53" w:rsidRDefault="00411C53" w:rsidP="00411C53">
      <w:pPr>
        <w:shd w:val="clear" w:color="auto" w:fill="FFFFFF"/>
        <w:spacing w:after="0"/>
        <w:rPr>
          <w:rFonts w:ascii="Arial" w:hAnsi="Arial" w:cs="Arial"/>
          <w:color w:val="FF0000"/>
          <w:sz w:val="12"/>
          <w:szCs w:val="12"/>
          <w:lang w:eastAsia="en-GB"/>
        </w:rPr>
      </w:pPr>
    </w:p>
    <w:p w:rsidR="00411C53" w:rsidRPr="00411C53" w:rsidRDefault="00411C53" w:rsidP="00411C53">
      <w:pPr>
        <w:shd w:val="clear" w:color="auto" w:fill="FFFFFF"/>
        <w:spacing w:after="0"/>
        <w:rPr>
          <w:rFonts w:ascii="Arial" w:hAnsi="Arial" w:cs="Arial"/>
          <w:color w:val="231F20"/>
          <w:sz w:val="24"/>
          <w:szCs w:val="24"/>
          <w:u w:val="single"/>
          <w:lang w:eastAsia="en-GB"/>
        </w:rPr>
      </w:pPr>
      <w:hyperlink r:id="rId10" w:history="1">
        <w:r w:rsidRPr="00411C53">
          <w:rPr>
            <w:rFonts w:ascii="Arial" w:hAnsi="Arial" w:cs="Arial"/>
            <w:color w:val="005EBC"/>
            <w:sz w:val="24"/>
            <w:szCs w:val="24"/>
            <w:u w:val="single"/>
            <w:lang w:eastAsia="en-GB"/>
          </w:rPr>
          <w:t>Direction of prescriptions</w:t>
        </w:r>
      </w:hyperlink>
      <w:r w:rsidRPr="00411C53">
        <w:rPr>
          <w:rFonts w:ascii="Arial" w:hAnsi="Arial" w:cs="Arial"/>
          <w:color w:val="231F20"/>
          <w:sz w:val="24"/>
          <w:szCs w:val="24"/>
          <w:u w:val="single"/>
          <w:lang w:eastAsia="en-GB"/>
        </w:rPr>
        <w:t> </w:t>
      </w:r>
    </w:p>
    <w:p w:rsidR="00411C53" w:rsidRPr="00411C53" w:rsidRDefault="00411C53" w:rsidP="00411C53">
      <w:pPr>
        <w:shd w:val="clear" w:color="auto" w:fill="FFFFFF"/>
        <w:spacing w:after="0"/>
        <w:rPr>
          <w:rFonts w:ascii="Arial" w:hAnsi="Arial" w:cs="Arial"/>
          <w:color w:val="231F20"/>
          <w:sz w:val="24"/>
          <w:szCs w:val="24"/>
          <w:u w:val="single"/>
          <w:lang w:eastAsia="en-GB"/>
        </w:rPr>
      </w:pPr>
      <w:hyperlink r:id="rId11" w:history="1">
        <w:r w:rsidRPr="00411C53">
          <w:rPr>
            <w:rFonts w:ascii="Arial" w:hAnsi="Arial" w:cs="Arial"/>
            <w:color w:val="005EBC"/>
            <w:sz w:val="24"/>
            <w:szCs w:val="24"/>
            <w:u w:val="single"/>
            <w:lang w:eastAsia="en-GB"/>
          </w:rPr>
          <w:t>Poster on freedom of choice</w:t>
        </w:r>
      </w:hyperlink>
      <w:r w:rsidRPr="00411C53">
        <w:rPr>
          <w:rFonts w:ascii="Arial" w:hAnsi="Arial" w:cs="Arial"/>
          <w:color w:val="231F20"/>
          <w:sz w:val="24"/>
          <w:szCs w:val="24"/>
          <w:u w:val="single"/>
          <w:lang w:eastAsia="en-GB"/>
        </w:rPr>
        <w:t> </w:t>
      </w:r>
    </w:p>
    <w:p w:rsidR="00411C53" w:rsidRPr="00411C53" w:rsidRDefault="00411C53" w:rsidP="00411C53">
      <w:pPr>
        <w:shd w:val="clear" w:color="auto" w:fill="FFFFFF"/>
        <w:spacing w:after="0"/>
        <w:rPr>
          <w:rFonts w:ascii="Arial" w:hAnsi="Arial" w:cs="Arial"/>
          <w:color w:val="231F20"/>
          <w:sz w:val="24"/>
          <w:szCs w:val="24"/>
          <w:u w:val="single"/>
          <w:lang w:eastAsia="en-GB"/>
        </w:rPr>
      </w:pPr>
      <w:hyperlink r:id="rId12" w:history="1">
        <w:r w:rsidRPr="00411C53">
          <w:rPr>
            <w:rFonts w:ascii="Arial" w:hAnsi="Arial" w:cs="Arial"/>
            <w:color w:val="005EBC"/>
            <w:sz w:val="24"/>
            <w:szCs w:val="24"/>
            <w:u w:val="single"/>
            <w:lang w:eastAsia="en-GB"/>
          </w:rPr>
          <w:t>EPS nomination and direction of electronic prescriptions</w:t>
        </w:r>
      </w:hyperlink>
      <w:r w:rsidRPr="00411C53">
        <w:rPr>
          <w:rFonts w:ascii="Arial" w:hAnsi="Arial" w:cs="Arial"/>
          <w:color w:val="231F20"/>
          <w:sz w:val="24"/>
          <w:szCs w:val="24"/>
          <w:u w:val="single"/>
          <w:lang w:eastAsia="en-GB"/>
        </w:rPr>
        <w:t> </w:t>
      </w:r>
    </w:p>
    <w:p w:rsidR="00411C53" w:rsidRPr="00411C53" w:rsidRDefault="00411C53" w:rsidP="00411C53">
      <w:pPr>
        <w:shd w:val="clear" w:color="auto" w:fill="FFFFFF"/>
        <w:spacing w:after="0" w:line="312" w:lineRule="atLeast"/>
        <w:rPr>
          <w:rFonts w:ascii="Arial" w:hAnsi="Arial" w:cs="Arial"/>
          <w:color w:val="000000"/>
          <w:sz w:val="12"/>
          <w:szCs w:val="12"/>
          <w:lang w:eastAsia="en-GB"/>
        </w:rPr>
      </w:pPr>
    </w:p>
    <w:p w:rsidR="00411C53" w:rsidRPr="00411C53" w:rsidRDefault="00411C53" w:rsidP="00411C53">
      <w:pPr>
        <w:spacing w:after="0"/>
        <w:rPr>
          <w:rFonts w:ascii="Arial" w:hAnsi="Arial" w:cs="Arial"/>
          <w:b/>
          <w:bCs/>
          <w:color w:val="FF0000"/>
          <w:sz w:val="36"/>
          <w:szCs w:val="36"/>
        </w:rPr>
      </w:pPr>
      <w:r w:rsidRPr="00411C53">
        <w:rPr>
          <w:rFonts w:ascii="Arial" w:hAnsi="Arial" w:cs="Arial"/>
          <w:b/>
          <w:bCs/>
          <w:color w:val="FF0000"/>
          <w:sz w:val="36"/>
          <w:szCs w:val="36"/>
        </w:rPr>
        <w:t>Direction of Prescriptions</w:t>
      </w:r>
    </w:p>
    <w:p w:rsidR="00411C53" w:rsidRPr="00411C53" w:rsidRDefault="00411C53" w:rsidP="00411C53">
      <w:pPr>
        <w:spacing w:after="0"/>
        <w:rPr>
          <w:rFonts w:ascii="Arial" w:hAnsi="Arial" w:cs="Arial"/>
          <w:sz w:val="12"/>
          <w:szCs w:val="12"/>
        </w:rPr>
      </w:pPr>
    </w:p>
    <w:p w:rsidR="00411C53" w:rsidRPr="00411C53" w:rsidRDefault="00411C53" w:rsidP="00411C53">
      <w:pPr>
        <w:spacing w:after="0"/>
        <w:rPr>
          <w:rFonts w:ascii="Arial" w:hAnsi="Arial" w:cs="Arial"/>
          <w:sz w:val="24"/>
          <w:szCs w:val="24"/>
        </w:rPr>
      </w:pPr>
      <w:r w:rsidRPr="00411C53">
        <w:rPr>
          <w:rFonts w:ascii="Arial" w:hAnsi="Arial" w:cs="Arial"/>
          <w:sz w:val="24"/>
          <w:szCs w:val="24"/>
        </w:rPr>
        <w:t xml:space="preserve">The CCG has been made aware that at the beginning of the Covid-19 pandemic a GP Practice took action to increase the number of patients using the electronic prescription service (EPS), to reduce footfall into the GP Practice and reduce the need for the collection of paper prescriptions, in line with the </w:t>
      </w:r>
      <w:hyperlink r:id="rId13" w:history="1">
        <w:r w:rsidRPr="00411C53">
          <w:rPr>
            <w:rFonts w:ascii="Arial" w:hAnsi="Arial" w:cs="Arial"/>
            <w:color w:val="0563C1"/>
            <w:sz w:val="24"/>
            <w:szCs w:val="24"/>
            <w:u w:val="single"/>
          </w:rPr>
          <w:t>national request from NHS England sent to all GP Practices on 19</w:t>
        </w:r>
        <w:r w:rsidRPr="00411C53">
          <w:rPr>
            <w:rFonts w:ascii="Arial" w:hAnsi="Arial" w:cs="Arial"/>
            <w:color w:val="0563C1"/>
            <w:sz w:val="24"/>
            <w:szCs w:val="24"/>
            <w:u w:val="single"/>
            <w:vertAlign w:val="superscript"/>
          </w:rPr>
          <w:t>th</w:t>
        </w:r>
        <w:r w:rsidRPr="00411C53">
          <w:rPr>
            <w:rFonts w:ascii="Arial" w:hAnsi="Arial" w:cs="Arial"/>
            <w:color w:val="0563C1"/>
            <w:sz w:val="24"/>
            <w:szCs w:val="24"/>
            <w:u w:val="single"/>
          </w:rPr>
          <w:t xml:space="preserve"> March 2020</w:t>
        </w:r>
      </w:hyperlink>
      <w:r w:rsidRPr="00411C53">
        <w:rPr>
          <w:rFonts w:ascii="Arial" w:hAnsi="Arial" w:cs="Arial"/>
          <w:sz w:val="24"/>
          <w:szCs w:val="24"/>
        </w:rPr>
        <w:t>. This is indeed what we encourage and support.</w:t>
      </w:r>
    </w:p>
    <w:p w:rsidR="00411C53" w:rsidRPr="00411C53" w:rsidRDefault="00411C53" w:rsidP="00411C53">
      <w:pPr>
        <w:spacing w:after="0"/>
        <w:rPr>
          <w:rFonts w:ascii="Arial" w:hAnsi="Arial" w:cs="Arial"/>
          <w:sz w:val="12"/>
          <w:szCs w:val="12"/>
        </w:rPr>
      </w:pPr>
    </w:p>
    <w:p w:rsidR="00411C53" w:rsidRPr="00411C53" w:rsidRDefault="00411C53" w:rsidP="00411C53">
      <w:pPr>
        <w:spacing w:after="0"/>
        <w:rPr>
          <w:rFonts w:ascii="Arial" w:hAnsi="Arial" w:cs="Arial"/>
          <w:sz w:val="24"/>
          <w:szCs w:val="24"/>
          <w:u w:val="single"/>
        </w:rPr>
      </w:pPr>
      <w:r w:rsidRPr="00411C53">
        <w:rPr>
          <w:rFonts w:ascii="Arial" w:hAnsi="Arial" w:cs="Arial"/>
          <w:sz w:val="24"/>
          <w:szCs w:val="24"/>
        </w:rPr>
        <w:t xml:space="preserve">However, at the same time, the GP Practice also decided to nominate a pharmacy for the patient by sending a text message. Nominating a pharmacy on behalf of a patient, without informed consent from the patient is not allowed and is deemed as direction of prescriptions by the GP Practice. Direction of prescriptions is a very serious matter and there has been no change to the current regulation in this regard.  Please see below several sources of guidance on the direction of prescriptions. This </w:t>
      </w:r>
      <w:r w:rsidRPr="00411C53">
        <w:rPr>
          <w:rFonts w:ascii="Arial" w:hAnsi="Arial" w:cs="Arial"/>
          <w:sz w:val="24"/>
          <w:szCs w:val="24"/>
        </w:rPr>
        <w:lastRenderedPageBreak/>
        <w:t>information has also been made available for download from the dedicated COVID-19 web page.</w:t>
      </w:r>
    </w:p>
    <w:p w:rsidR="00411C53" w:rsidRPr="00411C53" w:rsidRDefault="00411C53" w:rsidP="00411C53">
      <w:pPr>
        <w:keepNext/>
        <w:spacing w:before="161" w:after="161"/>
        <w:rPr>
          <w:rFonts w:ascii="Arial" w:hAnsi="Arial" w:cs="Arial"/>
          <w:b/>
          <w:bCs/>
          <w:sz w:val="24"/>
          <w:szCs w:val="24"/>
          <w:lang w:eastAsia="en-GB"/>
        </w:rPr>
      </w:pPr>
      <w:r w:rsidRPr="00411C53">
        <w:rPr>
          <w:rFonts w:ascii="Arial" w:hAnsi="Arial" w:cs="Arial"/>
          <w:b/>
          <w:bCs/>
          <w:sz w:val="24"/>
          <w:szCs w:val="24"/>
          <w:lang w:eastAsia="en-GB"/>
        </w:rPr>
        <w:t>Direction of prescriptions</w:t>
      </w:r>
    </w:p>
    <w:p w:rsidR="00411C53" w:rsidRPr="00411C53" w:rsidRDefault="00411C53" w:rsidP="00411C53">
      <w:pPr>
        <w:spacing w:before="240" w:after="0"/>
        <w:jc w:val="both"/>
        <w:rPr>
          <w:rFonts w:ascii="Arial" w:hAnsi="Arial" w:cs="Arial"/>
          <w:sz w:val="24"/>
          <w:szCs w:val="24"/>
          <w:lang w:eastAsia="en-GB"/>
        </w:rPr>
      </w:pPr>
      <w:proofErr w:type="gramStart"/>
      <w:r w:rsidRPr="00411C53">
        <w:rPr>
          <w:rFonts w:ascii="Arial" w:hAnsi="Arial" w:cs="Arial"/>
          <w:sz w:val="24"/>
          <w:szCs w:val="24"/>
          <w:lang w:eastAsia="en-GB"/>
        </w:rPr>
        <w:t>The term ‘direction of prescriptions’ is used to describe the exercise of undue influence by a medical practice over the choice of where a patient takes or sends their prescription to be dispensed.</w:t>
      </w:r>
      <w:proofErr w:type="gramEnd"/>
      <w:r w:rsidRPr="00411C53">
        <w:rPr>
          <w:rFonts w:ascii="Arial" w:hAnsi="Arial" w:cs="Arial"/>
          <w:sz w:val="24"/>
          <w:szCs w:val="24"/>
          <w:lang w:eastAsia="en-GB"/>
        </w:rPr>
        <w:t xml:space="preserve"> It can also be used to describe situations where pharmacy owners and pharmacists encourage medical practitioners to recommend their pharmacy, by way of offering a gift or reward.</w:t>
      </w:r>
    </w:p>
    <w:p w:rsidR="00411C53" w:rsidRPr="00411C53" w:rsidRDefault="00411C53" w:rsidP="00411C53">
      <w:pPr>
        <w:spacing w:before="240" w:after="0"/>
        <w:jc w:val="both"/>
        <w:rPr>
          <w:rFonts w:ascii="Arial" w:hAnsi="Arial" w:cs="Arial"/>
          <w:sz w:val="24"/>
          <w:szCs w:val="24"/>
          <w:lang w:eastAsia="en-GB"/>
        </w:rPr>
      </w:pPr>
      <w:r w:rsidRPr="00411C53">
        <w:rPr>
          <w:rFonts w:ascii="Arial" w:hAnsi="Arial" w:cs="Arial"/>
          <w:sz w:val="24"/>
          <w:szCs w:val="24"/>
          <w:lang w:eastAsia="en-GB"/>
        </w:rPr>
        <w:t xml:space="preserve">Prescription direction should not take place. Patients are entitled to make decisions about where they want their prescriptions to be dispensed; therefore, if a patient prefers to use a particular pharmacy, the NHS Constitution requires that this preference is respected. </w:t>
      </w:r>
    </w:p>
    <w:p w:rsidR="00411C53" w:rsidRPr="00411C53" w:rsidRDefault="00411C53" w:rsidP="00411C53">
      <w:pPr>
        <w:spacing w:before="199" w:after="199"/>
        <w:rPr>
          <w:rFonts w:ascii="Arial" w:hAnsi="Arial" w:cs="Arial"/>
          <w:b/>
          <w:bCs/>
          <w:sz w:val="24"/>
          <w:szCs w:val="24"/>
          <w:lang w:eastAsia="en-GB"/>
        </w:rPr>
      </w:pPr>
      <w:r w:rsidRPr="00411C53">
        <w:rPr>
          <w:rFonts w:ascii="Arial" w:hAnsi="Arial" w:cs="Arial"/>
          <w:b/>
          <w:bCs/>
          <w:sz w:val="24"/>
          <w:szCs w:val="24"/>
          <w:lang w:eastAsia="en-GB"/>
        </w:rPr>
        <w:t>Poster on freedom of choice (published by NHS)</w:t>
      </w:r>
    </w:p>
    <w:p w:rsidR="00411C53" w:rsidRPr="00411C53" w:rsidRDefault="00411C53" w:rsidP="00411C53">
      <w:pPr>
        <w:spacing w:before="240" w:after="0"/>
        <w:jc w:val="both"/>
        <w:rPr>
          <w:rFonts w:ascii="Arial" w:hAnsi="Arial" w:cs="Arial"/>
          <w:sz w:val="24"/>
          <w:szCs w:val="24"/>
          <w:lang w:eastAsia="en-GB"/>
        </w:rPr>
      </w:pPr>
      <w:r w:rsidRPr="00411C53">
        <w:rPr>
          <w:rFonts w:ascii="Arial" w:hAnsi="Arial" w:cs="Arial"/>
          <w:sz w:val="24"/>
          <w:szCs w:val="24"/>
          <w:lang w:eastAsia="en-GB"/>
        </w:rPr>
        <w:t>Patients should be able to choose their own pharmacy, based on the convenience to them and the quality of service that is provided. A poster which sets out the right for patients to make their own choice has been produced and pharmacies are asked to display this prominently and as close as practicable to the location where patients receive prescriptions. Distance selling and internet pharmacies should display this information prominently on their websites and take reasonable steps to bring this notice to the attention of all patients, for example by including a copy of this notice with dispensed medicines that are delivered to patients.</w:t>
      </w:r>
    </w:p>
    <w:p w:rsidR="00411C53" w:rsidRPr="00411C53" w:rsidRDefault="00411C53" w:rsidP="00411C53">
      <w:pPr>
        <w:spacing w:before="240" w:after="0"/>
        <w:jc w:val="both"/>
        <w:rPr>
          <w:rFonts w:ascii="Arial" w:hAnsi="Arial" w:cs="Arial"/>
          <w:color w:val="0070C0"/>
          <w:sz w:val="24"/>
          <w:szCs w:val="24"/>
          <w:lang w:eastAsia="en-GB"/>
        </w:rPr>
      </w:pPr>
      <w:r w:rsidRPr="00411C53">
        <w:rPr>
          <w:rFonts w:ascii="Arial" w:hAnsi="Arial" w:cs="Arial"/>
          <w:sz w:val="24"/>
          <w:szCs w:val="24"/>
          <w:lang w:eastAsia="en-GB"/>
        </w:rPr>
        <w:t xml:space="preserve">In October 2015, NHS England wrote to all general practices and pharmacies to ask for their help in ensuring that all patients are aware of their right to choose freely without influence. </w:t>
      </w:r>
      <w:hyperlink r:id="rId14" w:history="1">
        <w:r w:rsidRPr="00411C53">
          <w:rPr>
            <w:rFonts w:ascii="Arial" w:hAnsi="Arial" w:cs="Arial"/>
            <w:color w:val="0070C0"/>
            <w:sz w:val="24"/>
            <w:szCs w:val="24"/>
            <w:u w:val="single"/>
            <w:lang w:eastAsia="en-GB"/>
          </w:rPr>
          <w:t>NHS England letter to pharmacies</w:t>
        </w:r>
      </w:hyperlink>
    </w:p>
    <w:p w:rsidR="00411C53" w:rsidRPr="00411C53" w:rsidRDefault="00411C53" w:rsidP="00411C53">
      <w:pPr>
        <w:spacing w:before="240" w:after="0"/>
        <w:jc w:val="both"/>
        <w:rPr>
          <w:rFonts w:ascii="Arial" w:hAnsi="Arial" w:cs="Arial"/>
          <w:sz w:val="24"/>
          <w:szCs w:val="24"/>
          <w:lang w:eastAsia="en-GB"/>
        </w:rPr>
      </w:pPr>
      <w:r w:rsidRPr="00411C53">
        <w:rPr>
          <w:rFonts w:ascii="Arial" w:hAnsi="Arial" w:cs="Arial"/>
          <w:sz w:val="24"/>
          <w:szCs w:val="24"/>
          <w:lang w:eastAsia="en-GB"/>
        </w:rPr>
        <w:t xml:space="preserve">The poster can be downloaded below and a copy has been sent to all pharmacies in the October edition of Community Pharmacy News which will arrive later during October 2015. </w:t>
      </w:r>
      <w:hyperlink r:id="rId15" w:history="1">
        <w:r w:rsidRPr="00411C53">
          <w:rPr>
            <w:rFonts w:ascii="Arial" w:hAnsi="Arial" w:cs="Arial"/>
            <w:color w:val="0070C0"/>
            <w:sz w:val="24"/>
            <w:szCs w:val="24"/>
            <w:u w:val="single"/>
            <w:lang w:eastAsia="en-GB"/>
          </w:rPr>
          <w:t>Poster on freedom of choice</w:t>
        </w:r>
      </w:hyperlink>
      <w:r w:rsidRPr="00411C53">
        <w:rPr>
          <w:rFonts w:ascii="Arial" w:hAnsi="Arial" w:cs="Arial"/>
          <w:color w:val="0070C0"/>
          <w:sz w:val="24"/>
          <w:szCs w:val="24"/>
          <w:lang w:eastAsia="en-GB"/>
        </w:rPr>
        <w:t> </w:t>
      </w:r>
      <w:r w:rsidRPr="00411C53">
        <w:rPr>
          <w:rFonts w:ascii="Arial" w:hAnsi="Arial" w:cs="Arial"/>
          <w:sz w:val="24"/>
          <w:szCs w:val="24"/>
          <w:lang w:eastAsia="en-GB"/>
        </w:rPr>
        <w:t>(pdf)</w:t>
      </w:r>
    </w:p>
    <w:p w:rsidR="00411C53" w:rsidRPr="00411C53" w:rsidRDefault="00411C53" w:rsidP="00411C53">
      <w:pPr>
        <w:spacing w:before="199" w:after="199"/>
        <w:rPr>
          <w:rFonts w:ascii="Arial" w:hAnsi="Arial" w:cs="Arial"/>
          <w:b/>
          <w:bCs/>
          <w:sz w:val="24"/>
          <w:szCs w:val="24"/>
          <w:lang w:eastAsia="en-GB"/>
        </w:rPr>
      </w:pPr>
      <w:r w:rsidRPr="00411C53">
        <w:rPr>
          <w:rFonts w:ascii="Arial" w:hAnsi="Arial" w:cs="Arial"/>
          <w:b/>
          <w:bCs/>
          <w:sz w:val="24"/>
          <w:szCs w:val="24"/>
          <w:lang w:eastAsia="en-GB"/>
        </w:rPr>
        <w:t>EPS nomination and direction of electronic prescriptions</w:t>
      </w:r>
    </w:p>
    <w:p w:rsidR="00411C53" w:rsidRPr="00411C53" w:rsidRDefault="00411C53" w:rsidP="00411C53">
      <w:pPr>
        <w:spacing w:before="240" w:after="0"/>
        <w:jc w:val="both"/>
        <w:rPr>
          <w:rFonts w:ascii="Arial" w:hAnsi="Arial" w:cs="Arial"/>
          <w:sz w:val="24"/>
          <w:szCs w:val="24"/>
          <w:lang w:eastAsia="en-GB"/>
        </w:rPr>
      </w:pPr>
      <w:r w:rsidRPr="00411C53">
        <w:rPr>
          <w:rFonts w:ascii="Arial" w:hAnsi="Arial" w:cs="Arial"/>
          <w:sz w:val="24"/>
          <w:szCs w:val="24"/>
          <w:lang w:eastAsia="en-GB"/>
        </w:rPr>
        <w:t>In April 2005, the National Health Service (Primary Medical Services) (Miscellaneous Amendments) Regulations 2005 came into force which stipulates that when operating the </w:t>
      </w:r>
      <w:hyperlink r:id="rId16" w:history="1">
        <w:r w:rsidRPr="00411C53">
          <w:rPr>
            <w:rFonts w:ascii="Arial" w:hAnsi="Arial" w:cs="Arial"/>
            <w:color w:val="0070C0"/>
            <w:sz w:val="24"/>
            <w:szCs w:val="24"/>
            <w:u w:val="single"/>
            <w:lang w:eastAsia="en-GB"/>
          </w:rPr>
          <w:t>Electronic Prescription Service (EPS)</w:t>
        </w:r>
      </w:hyperlink>
      <w:r w:rsidRPr="00411C53">
        <w:rPr>
          <w:rFonts w:ascii="Arial" w:hAnsi="Arial" w:cs="Arial"/>
          <w:sz w:val="24"/>
          <w:szCs w:val="24"/>
          <w:lang w:eastAsia="en-GB"/>
        </w:rPr>
        <w:t>, a prescriber must not seek to persuade a patient to </w:t>
      </w:r>
      <w:hyperlink r:id="rId17" w:history="1">
        <w:r w:rsidRPr="00411C53">
          <w:rPr>
            <w:rFonts w:ascii="Arial" w:hAnsi="Arial" w:cs="Arial"/>
            <w:sz w:val="24"/>
            <w:szCs w:val="24"/>
            <w:u w:val="single"/>
            <w:lang w:eastAsia="en-GB"/>
          </w:rPr>
          <w:t>n</w:t>
        </w:r>
        <w:r w:rsidRPr="00411C53">
          <w:rPr>
            <w:rFonts w:ascii="Arial" w:hAnsi="Arial" w:cs="Arial"/>
            <w:color w:val="0070C0"/>
            <w:sz w:val="24"/>
            <w:szCs w:val="24"/>
            <w:u w:val="single"/>
            <w:lang w:eastAsia="en-GB"/>
          </w:rPr>
          <w:t>ominate</w:t>
        </w:r>
      </w:hyperlink>
      <w:r w:rsidRPr="00411C53">
        <w:rPr>
          <w:rFonts w:ascii="Arial" w:hAnsi="Arial" w:cs="Arial"/>
          <w:sz w:val="24"/>
          <w:szCs w:val="24"/>
          <w:lang w:eastAsia="en-GB"/>
        </w:rPr>
        <w:t> a dispenser recommended by the prescriber. The regulations also state that, if asked to recommend a chemist, the prescriber is to provide a list of all chemists in the area that operate EPS, as provided by the local NHS England Team (this provision is continued by the National Health Service (General Medical Services Contracts) Regulations 2015 – see Regulation 58 (4)).</w:t>
      </w:r>
    </w:p>
    <w:p w:rsidR="00411C53" w:rsidRPr="00411C53" w:rsidRDefault="00411C53" w:rsidP="00411C53">
      <w:pPr>
        <w:numPr>
          <w:ilvl w:val="0"/>
          <w:numId w:val="4"/>
        </w:numPr>
        <w:spacing w:before="240" w:after="0" w:line="240" w:lineRule="auto"/>
        <w:jc w:val="both"/>
        <w:rPr>
          <w:rFonts w:ascii="Arial" w:eastAsia="Times New Roman" w:hAnsi="Arial" w:cs="Arial"/>
          <w:sz w:val="24"/>
          <w:szCs w:val="24"/>
        </w:rPr>
      </w:pPr>
      <w:r w:rsidRPr="00411C53">
        <w:rPr>
          <w:rFonts w:ascii="Arial" w:eastAsia="Times New Roman" w:hAnsi="Arial" w:cs="Arial"/>
          <w:sz w:val="24"/>
          <w:szCs w:val="24"/>
        </w:rPr>
        <w:lastRenderedPageBreak/>
        <w:t>The GMC have </w:t>
      </w:r>
      <w:hyperlink r:id="rId18" w:tgtFrame="_blank" w:history="1">
        <w:r w:rsidRPr="00411C53">
          <w:rPr>
            <w:rFonts w:ascii="Arial" w:eastAsia="Times New Roman" w:hAnsi="Arial" w:cs="Arial"/>
            <w:color w:val="0070C0"/>
            <w:sz w:val="24"/>
            <w:szCs w:val="24"/>
            <w:u w:val="single"/>
          </w:rPr>
          <w:t>guidelines</w:t>
        </w:r>
      </w:hyperlink>
      <w:r w:rsidRPr="00411C53">
        <w:rPr>
          <w:rFonts w:ascii="Arial" w:eastAsia="Times New Roman" w:hAnsi="Arial" w:cs="Arial"/>
          <w:color w:val="0070C0"/>
          <w:sz w:val="24"/>
          <w:szCs w:val="24"/>
        </w:rPr>
        <w:t> </w:t>
      </w:r>
      <w:r w:rsidRPr="00411C53">
        <w:rPr>
          <w:rFonts w:ascii="Arial" w:eastAsia="Times New Roman" w:hAnsi="Arial" w:cs="Arial"/>
          <w:sz w:val="24"/>
          <w:szCs w:val="24"/>
        </w:rPr>
        <w:t>(see the section called “Decisions on Patient Care”) linked to the direction of prescriptions which make it clear that patients should be free to choose from which pharmacy to have their prescribed medicines dispensed and doctors must not allow their own or their employers’ financial or commercial interests in a pharmacy to influence the way they advise their patients. A doctor’s failure to adhere to these standards could form the basis of a complaint of professional misconduct.</w:t>
      </w:r>
    </w:p>
    <w:p w:rsidR="00411C53" w:rsidRPr="00411C53" w:rsidRDefault="00411C53" w:rsidP="00411C53">
      <w:pPr>
        <w:spacing w:before="240" w:after="0"/>
        <w:jc w:val="both"/>
        <w:rPr>
          <w:rFonts w:ascii="Arial" w:hAnsi="Arial" w:cs="Arial"/>
          <w:sz w:val="24"/>
          <w:szCs w:val="24"/>
          <w:lang w:eastAsia="en-GB"/>
        </w:rPr>
      </w:pPr>
      <w:r w:rsidRPr="00411C53">
        <w:rPr>
          <w:rFonts w:ascii="Arial" w:hAnsi="Arial" w:cs="Arial"/>
          <w:sz w:val="24"/>
          <w:szCs w:val="24"/>
        </w:rPr>
        <w:t xml:space="preserve">BMA and PSNC Joint Guidance – Jan 2020 </w:t>
      </w:r>
      <w:hyperlink r:id="rId19" w:history="1">
        <w:r w:rsidRPr="00411C53">
          <w:rPr>
            <w:rFonts w:ascii="Arial" w:hAnsi="Arial" w:cs="Arial"/>
            <w:color w:val="0070C0"/>
            <w:sz w:val="24"/>
            <w:szCs w:val="24"/>
            <w:u w:val="single"/>
            <w:lang w:eastAsia="en-GB"/>
          </w:rPr>
          <w:t>https://www.bma.org.uk/advice-and-support/gp-practices/prescribing/prescription-direction-to-certain-pharmacies</w:t>
        </w:r>
      </w:hyperlink>
    </w:p>
    <w:p w:rsidR="00411C53" w:rsidRPr="00411C53" w:rsidRDefault="00411C53" w:rsidP="00411C53">
      <w:pPr>
        <w:spacing w:before="240" w:after="0"/>
        <w:jc w:val="both"/>
        <w:rPr>
          <w:rFonts w:ascii="Arial" w:hAnsi="Arial" w:cs="Arial"/>
          <w:sz w:val="24"/>
          <w:szCs w:val="24"/>
          <w:lang w:eastAsia="en-GB"/>
        </w:rPr>
      </w:pPr>
      <w:r w:rsidRPr="00411C53">
        <w:rPr>
          <w:rFonts w:ascii="Arial" w:hAnsi="Arial" w:cs="Arial"/>
          <w:sz w:val="24"/>
          <w:szCs w:val="24"/>
        </w:rPr>
        <w:t xml:space="preserve">GMC Guidance </w:t>
      </w:r>
      <w:hyperlink r:id="rId20" w:history="1">
        <w:r w:rsidRPr="00411C53">
          <w:rPr>
            <w:rFonts w:ascii="Arial" w:hAnsi="Arial" w:cs="Arial"/>
            <w:color w:val="0070C0"/>
            <w:sz w:val="24"/>
            <w:szCs w:val="24"/>
            <w:u w:val="single"/>
            <w:lang w:eastAsia="en-GB"/>
          </w:rPr>
          <w:t>https://www.gmc-uk.org/ethical-guidance/learning-materials/prescription-direction</w:t>
        </w:r>
      </w:hyperlink>
    </w:p>
    <w:p w:rsidR="00411C53" w:rsidRPr="00411C53" w:rsidRDefault="00411C53" w:rsidP="00411C53">
      <w:pPr>
        <w:spacing w:after="0"/>
        <w:rPr>
          <w:rFonts w:ascii="Arial" w:hAnsi="Arial" w:cs="Arial"/>
          <w:sz w:val="24"/>
          <w:szCs w:val="24"/>
        </w:rPr>
      </w:pPr>
    </w:p>
    <w:p w:rsidR="00411C53" w:rsidRPr="00411C53" w:rsidRDefault="00411C53" w:rsidP="00411C53">
      <w:pPr>
        <w:spacing w:after="0"/>
        <w:rPr>
          <w:rFonts w:ascii="Arial" w:hAnsi="Arial" w:cs="Arial"/>
          <w:sz w:val="24"/>
          <w:szCs w:val="24"/>
        </w:rPr>
      </w:pPr>
      <w:r w:rsidRPr="00411C53">
        <w:rPr>
          <w:rFonts w:ascii="Arial" w:hAnsi="Arial" w:cs="Arial"/>
          <w:sz w:val="24"/>
          <w:szCs w:val="24"/>
        </w:rPr>
        <w:t xml:space="preserve">All our GP Practices are encouraged to enable and utilise EPS, in line with the </w:t>
      </w:r>
      <w:hyperlink r:id="rId21" w:history="1">
        <w:r w:rsidRPr="00411C53">
          <w:rPr>
            <w:rFonts w:ascii="Arial" w:hAnsi="Arial" w:cs="Arial"/>
            <w:color w:val="0563C1"/>
            <w:sz w:val="24"/>
            <w:szCs w:val="24"/>
            <w:u w:val="single"/>
          </w:rPr>
          <w:t>letter sent from NHSE to primary care on 19</w:t>
        </w:r>
        <w:r w:rsidRPr="00411C53">
          <w:rPr>
            <w:rFonts w:ascii="Arial" w:hAnsi="Arial" w:cs="Arial"/>
            <w:color w:val="0563C1"/>
            <w:sz w:val="24"/>
            <w:szCs w:val="24"/>
            <w:u w:val="single"/>
            <w:vertAlign w:val="superscript"/>
          </w:rPr>
          <w:t>th</w:t>
        </w:r>
        <w:r w:rsidRPr="00411C53">
          <w:rPr>
            <w:rFonts w:ascii="Arial" w:hAnsi="Arial" w:cs="Arial"/>
            <w:color w:val="0563C1"/>
            <w:sz w:val="24"/>
            <w:szCs w:val="24"/>
            <w:u w:val="single"/>
          </w:rPr>
          <w:t xml:space="preserve"> March 2020</w:t>
        </w:r>
      </w:hyperlink>
      <w:r w:rsidRPr="00411C53">
        <w:rPr>
          <w:rFonts w:ascii="Arial" w:hAnsi="Arial" w:cs="Arial"/>
          <w:sz w:val="24"/>
          <w:szCs w:val="24"/>
        </w:rPr>
        <w:t xml:space="preserve">. </w:t>
      </w:r>
    </w:p>
    <w:p w:rsidR="00411C53" w:rsidRPr="00411C53" w:rsidRDefault="00411C53" w:rsidP="00411C53">
      <w:pPr>
        <w:spacing w:after="0"/>
        <w:rPr>
          <w:rFonts w:ascii="Arial" w:hAnsi="Arial" w:cs="Arial"/>
          <w:sz w:val="24"/>
          <w:szCs w:val="24"/>
        </w:rPr>
      </w:pPr>
    </w:p>
    <w:p w:rsidR="00411C53" w:rsidRPr="00411C53" w:rsidRDefault="00411C53" w:rsidP="00411C53">
      <w:pPr>
        <w:spacing w:after="0"/>
        <w:rPr>
          <w:rFonts w:ascii="Arial" w:hAnsi="Arial" w:cs="Arial"/>
          <w:sz w:val="24"/>
          <w:szCs w:val="24"/>
        </w:rPr>
      </w:pPr>
      <w:r w:rsidRPr="00411C53">
        <w:rPr>
          <w:rFonts w:ascii="Arial" w:hAnsi="Arial" w:cs="Arial"/>
          <w:sz w:val="24"/>
          <w:szCs w:val="24"/>
        </w:rPr>
        <w:t xml:space="preserve">The guidance regarding direction of prescriptions has not changed/been relaxed during the Covid-19 pandemic, patients must be offered choice and the patient must nominate the preferred pharmacy, not be led to a specific pharmacy by a GP Practice. </w:t>
      </w:r>
    </w:p>
    <w:p w:rsidR="00411C53" w:rsidRPr="00411C53" w:rsidRDefault="00411C53" w:rsidP="00411C53">
      <w:pPr>
        <w:spacing w:after="0"/>
        <w:rPr>
          <w:rFonts w:ascii="Arial" w:hAnsi="Arial" w:cs="Arial"/>
          <w:sz w:val="24"/>
          <w:szCs w:val="24"/>
        </w:rPr>
      </w:pPr>
    </w:p>
    <w:p w:rsidR="00411C53" w:rsidRPr="00411C53" w:rsidRDefault="00411C53" w:rsidP="00411C53">
      <w:pPr>
        <w:spacing w:after="0"/>
        <w:rPr>
          <w:rFonts w:ascii="Arial" w:hAnsi="Arial" w:cs="Arial"/>
          <w:sz w:val="24"/>
          <w:szCs w:val="24"/>
        </w:rPr>
      </w:pPr>
      <w:r w:rsidRPr="00411C53">
        <w:rPr>
          <w:rFonts w:ascii="Arial" w:hAnsi="Arial" w:cs="Arial"/>
          <w:sz w:val="24"/>
          <w:szCs w:val="24"/>
        </w:rPr>
        <w:t xml:space="preserve">Please note - The </w:t>
      </w:r>
      <w:hyperlink r:id="rId22" w:history="1">
        <w:r w:rsidRPr="00411C53">
          <w:rPr>
            <w:rFonts w:ascii="Arial" w:hAnsi="Arial" w:cs="Arial"/>
            <w:color w:val="0563C1"/>
            <w:sz w:val="24"/>
            <w:szCs w:val="24"/>
            <w:u w:val="single"/>
          </w:rPr>
          <w:t>guidance on electronic repeat dispensing (</w:t>
        </w:r>
        <w:proofErr w:type="spellStart"/>
        <w:r w:rsidRPr="00411C53">
          <w:rPr>
            <w:rFonts w:ascii="Arial" w:hAnsi="Arial" w:cs="Arial"/>
            <w:color w:val="0563C1"/>
            <w:sz w:val="24"/>
            <w:szCs w:val="24"/>
            <w:u w:val="single"/>
          </w:rPr>
          <w:t>eRD</w:t>
        </w:r>
        <w:proofErr w:type="spellEnd"/>
        <w:r w:rsidRPr="00411C53">
          <w:rPr>
            <w:rFonts w:ascii="Arial" w:hAnsi="Arial" w:cs="Arial"/>
            <w:color w:val="0563C1"/>
            <w:sz w:val="24"/>
            <w:szCs w:val="24"/>
            <w:u w:val="single"/>
          </w:rPr>
          <w:t xml:space="preserve">) has recently changed – 04.06.2020 </w:t>
        </w:r>
      </w:hyperlink>
      <w:r w:rsidRPr="00411C53">
        <w:rPr>
          <w:rFonts w:ascii="Arial" w:hAnsi="Arial" w:cs="Arial"/>
          <w:sz w:val="24"/>
          <w:szCs w:val="24"/>
        </w:rPr>
        <w:t xml:space="preserve"> and the latest guidance regarding </w:t>
      </w:r>
      <w:proofErr w:type="spellStart"/>
      <w:r w:rsidRPr="00411C53">
        <w:rPr>
          <w:rFonts w:ascii="Arial" w:hAnsi="Arial" w:cs="Arial"/>
          <w:sz w:val="24"/>
          <w:szCs w:val="24"/>
        </w:rPr>
        <w:t>eRD</w:t>
      </w:r>
      <w:proofErr w:type="spellEnd"/>
      <w:r w:rsidRPr="00411C53">
        <w:rPr>
          <w:rFonts w:ascii="Arial" w:hAnsi="Arial" w:cs="Arial"/>
          <w:sz w:val="24"/>
          <w:szCs w:val="24"/>
        </w:rPr>
        <w:t xml:space="preserve"> temporarily relaxes the need for patient consent for </w:t>
      </w:r>
      <w:proofErr w:type="spellStart"/>
      <w:r w:rsidRPr="00411C53">
        <w:rPr>
          <w:rFonts w:ascii="Arial" w:hAnsi="Arial" w:cs="Arial"/>
          <w:sz w:val="24"/>
          <w:szCs w:val="24"/>
        </w:rPr>
        <w:t>eRD</w:t>
      </w:r>
      <w:proofErr w:type="spellEnd"/>
      <w:r w:rsidRPr="00411C53">
        <w:rPr>
          <w:rFonts w:ascii="Arial" w:hAnsi="Arial" w:cs="Arial"/>
          <w:sz w:val="24"/>
          <w:szCs w:val="24"/>
        </w:rPr>
        <w:t>. This does not affect the rules regarding nominating a pharmacy, the patient must still nominate their preferred pharmacy, as detailed above.</w:t>
      </w:r>
    </w:p>
    <w:p w:rsidR="00411C53" w:rsidRPr="00411C53" w:rsidRDefault="00411C53" w:rsidP="00411C53">
      <w:pPr>
        <w:spacing w:after="0"/>
        <w:rPr>
          <w:rFonts w:ascii="Arial" w:hAnsi="Arial" w:cs="Arial"/>
          <w:sz w:val="24"/>
          <w:szCs w:val="24"/>
        </w:rPr>
      </w:pPr>
    </w:p>
    <w:p w:rsidR="00411C53" w:rsidRPr="00411C53" w:rsidRDefault="00411C53" w:rsidP="00411C53">
      <w:pPr>
        <w:spacing w:after="0"/>
        <w:rPr>
          <w:rFonts w:ascii="Arial" w:hAnsi="Arial" w:cs="Arial"/>
          <w:sz w:val="24"/>
          <w:szCs w:val="24"/>
        </w:rPr>
      </w:pPr>
      <w:r w:rsidRPr="00411C53">
        <w:rPr>
          <w:rFonts w:ascii="Arial" w:hAnsi="Arial" w:cs="Arial"/>
          <w:sz w:val="24"/>
          <w:szCs w:val="24"/>
        </w:rPr>
        <w:t xml:space="preserve">If you are unsure about anything related to the content of this email please seek advice and guidance from the CCG Medicines Management Team - </w:t>
      </w:r>
      <w:hyperlink r:id="rId23" w:history="1">
        <w:r w:rsidRPr="00411C53">
          <w:rPr>
            <w:rFonts w:ascii="Arial" w:hAnsi="Arial" w:cs="Arial"/>
            <w:color w:val="0563C1"/>
            <w:sz w:val="24"/>
            <w:szCs w:val="24"/>
            <w:u w:val="single"/>
          </w:rPr>
          <w:t>VOYCCG.Rxline@nhs.net</w:t>
        </w:r>
      </w:hyperlink>
    </w:p>
    <w:p w:rsidR="007E000D" w:rsidRDefault="00411C53">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3A5B"/>
    <w:multiLevelType w:val="multilevel"/>
    <w:tmpl w:val="FBBE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A2026F2"/>
    <w:multiLevelType w:val="hybridMultilevel"/>
    <w:tmpl w:val="72C686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ADE3EBC"/>
    <w:multiLevelType w:val="hybridMultilevel"/>
    <w:tmpl w:val="4D60ABE2"/>
    <w:lvl w:ilvl="0" w:tplc="33DE47A0">
      <w:start w:val="16"/>
      <w:numFmt w:val="bullet"/>
      <w:lvlText w:val="-"/>
      <w:lvlJc w:val="left"/>
      <w:pPr>
        <w:ind w:left="1440" w:hanging="360"/>
      </w:pPr>
      <w:rPr>
        <w:rFonts w:ascii="Arial" w:eastAsia="Calibr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53"/>
    <w:rsid w:val="00196207"/>
    <w:rsid w:val="00411C53"/>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7702">
      <w:bodyDiv w:val="1"/>
      <w:marLeft w:val="0"/>
      <w:marRight w:val="0"/>
      <w:marTop w:val="0"/>
      <w:marBottom w:val="0"/>
      <w:divBdr>
        <w:top w:val="none" w:sz="0" w:space="0" w:color="auto"/>
        <w:left w:val="none" w:sz="0" w:space="0" w:color="auto"/>
        <w:bottom w:val="none" w:sz="0" w:space="0" w:color="auto"/>
        <w:right w:val="none" w:sz="0" w:space="0" w:color="auto"/>
      </w:divBdr>
    </w:div>
    <w:div w:id="18457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4058&amp;inline=1&amp;inline=1&amp;inline=1" TargetMode="External"/><Relationship Id="rId13" Type="http://schemas.openxmlformats.org/officeDocument/2006/relationships/hyperlink" Target="https://www.england.nhs.uk/coronavirus/wp-content/uploads/sites/52/2020/03/preparedness-letter-primary-care-19-march-2020.pdf" TargetMode="External"/><Relationship Id="rId18" Type="http://schemas.openxmlformats.org/officeDocument/2006/relationships/hyperlink" Target="https://www.gmc-uk.org/guidance/ethical_guidance/21161.asp" TargetMode="External"/><Relationship Id="rId3" Type="http://schemas.microsoft.com/office/2007/relationships/stylesWithEffects" Target="stylesWithEffects.xml"/><Relationship Id="rId21" Type="http://schemas.openxmlformats.org/officeDocument/2006/relationships/hyperlink" Target="https://www.england.nhs.uk/coronavirus/wp-content/uploads/sites/52/2020/03/preparedness-letter-primary-care-19-march-2020.pdf" TargetMode="External"/><Relationship Id="rId7" Type="http://schemas.openxmlformats.org/officeDocument/2006/relationships/hyperlink" Target="https://www.valeofyorkccg.nhs.uk/seecmsfile/?id=4063&amp;inline=1" TargetMode="External"/><Relationship Id="rId12" Type="http://schemas.openxmlformats.org/officeDocument/2006/relationships/hyperlink" Target="https://www.valeofyorkccg.nhs.uk/seecmsfile/?id=4062&amp;inline=1" TargetMode="External"/><Relationship Id="rId17" Type="http://schemas.openxmlformats.org/officeDocument/2006/relationships/hyperlink" Target="https://psnc.org.uk/dispensing-supply/eps/patient-nomination-of-a-dispensing-sit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nc.org.uk/dispensing-supply/eps/" TargetMode="External"/><Relationship Id="rId20" Type="http://schemas.openxmlformats.org/officeDocument/2006/relationships/hyperlink" Target="https://www.gmc-uk.org/ethical-guidance/learning-materials/prescription-direction" TargetMode="Externa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valeofyorkccg.nhs.uk/seecmsfile/?id=4060&amp;inline=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snc.org.uk/wp-content/uploads/2015/10/Poster-combatting-prescription-direction-FINAL-MAIN.pdf" TargetMode="External"/><Relationship Id="rId23" Type="http://schemas.openxmlformats.org/officeDocument/2006/relationships/hyperlink" Target="mailto:VOYCCG.Rxline@nhs.net" TargetMode="External"/><Relationship Id="rId10" Type="http://schemas.openxmlformats.org/officeDocument/2006/relationships/hyperlink" Target="https://www.valeofyorkccg.nhs.uk/seecmsfile/?id=4061&amp;inline=1" TargetMode="External"/><Relationship Id="rId19" Type="http://schemas.openxmlformats.org/officeDocument/2006/relationships/hyperlink" Target="https://www.bma.org.uk/advice-and-support/gp-practices/prescribing/prescription-direction-to-certain-pharmacies" TargetMode="External"/><Relationship Id="rId4" Type="http://schemas.openxmlformats.org/officeDocument/2006/relationships/settings" Target="settings.xml"/><Relationship Id="rId9" Type="http://schemas.openxmlformats.org/officeDocument/2006/relationships/hyperlink" Target="https://www.valeofyorkccg.nhs.uk/seecmsfile/?id=4057&amp;inline=1&amp;inline=1&amp;inline=1" TargetMode="External"/><Relationship Id="rId14" Type="http://schemas.openxmlformats.org/officeDocument/2006/relationships/hyperlink" Target="https://psnc.org.uk/wp-content/uploads/2015/10/Directing-of-Perscriptions-covering-letter-FINAL.pdf" TargetMode="External"/><Relationship Id="rId22" Type="http://schemas.openxmlformats.org/officeDocument/2006/relationships/hyperlink" Target="https://www.england.nhs.uk/coronavirus/wp-content/uploads/sites/52/2020/03/C0546-electronic-repeat-dispensing-letter-4-june-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2020-06-12T10:30:00Z</dcterms:created>
  <dcterms:modified xsi:type="dcterms:W3CDTF">2020-06-12T10:31:00Z</dcterms:modified>
</cp:coreProperties>
</file>