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B0" w:rsidRPr="006313B0" w:rsidRDefault="006E69B9" w:rsidP="001D6871">
      <w:pPr>
        <w:tabs>
          <w:tab w:val="left" w:pos="6294"/>
        </w:tabs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3630DCB" wp14:editId="7A14EE19">
            <wp:simplePos x="0" y="0"/>
            <wp:positionH relativeFrom="margin">
              <wp:posOffset>-472026</wp:posOffset>
            </wp:positionH>
            <wp:positionV relativeFrom="paragraph">
              <wp:posOffset>-690994</wp:posOffset>
            </wp:positionV>
            <wp:extent cx="2933048" cy="1448656"/>
            <wp:effectExtent l="0" t="0" r="1270" b="0"/>
            <wp:wrapNone/>
            <wp:docPr id="2" name="Picture 3" descr="PHE small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E small logo for 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48" cy="14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1">
        <w:tab/>
      </w:r>
    </w:p>
    <w:p w:rsidR="006313B0" w:rsidRPr="006313B0" w:rsidRDefault="006313B0" w:rsidP="006313B0"/>
    <w:p w:rsidR="006313B0" w:rsidRPr="006313B0" w:rsidRDefault="006E69B9" w:rsidP="006313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185520</wp:posOffset>
                </wp:positionV>
                <wp:extent cx="6915150" cy="109933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9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C1" w:rsidRPr="009F32FD" w:rsidRDefault="001C3FC1" w:rsidP="001C3FC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</w:p>
                          <w:p w:rsidR="00294162" w:rsidRPr="004E752A" w:rsidRDefault="00294162" w:rsidP="00F8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Flu jab awards scheme</w:t>
                            </w:r>
                          </w:p>
                          <w:p w:rsidR="001C3FC1" w:rsidRPr="004E752A" w:rsidRDefault="00294162" w:rsidP="00F85B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recognised for having your free flu jab to help protect vulnerable patients in your care</w:t>
                            </w:r>
                          </w:p>
                          <w:p w:rsidR="001C3FC1" w:rsidRPr="009F32FD" w:rsidRDefault="001C3FC1" w:rsidP="001C3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1" o:spid="_x0000_s1026" style="position:absolute;margin-left:0;margin-top:14.6pt;width:544.5pt;height:86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" fillcolor="#1f3763 [1604]" strokecolor="#1f3763 [1604]" strokeweight="1pt">
                <v:textbox>
                  <w:txbxContent>
                    <w:p w:rsidR="001C3FC1" w:rsidRPr="009F32FD" w:rsidRDefault="001C3FC1" w:rsidP="001C3FC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"/>
                        </w:rPr>
                      </w:pPr>
                    </w:p>
                    <w:p w:rsidR="00294162" w:rsidRPr="004E752A" w:rsidRDefault="00294162" w:rsidP="00F8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 w:rsidRPr="004E752A">
                        <w:rPr>
                          <w:rFonts w:ascii="Arial" w:hAnsi="Arial" w:cs="Arial"/>
                          <w:b/>
                          <w:color w:val="ED7D31" w:themeColor="accent2"/>
                          <w:sz w:val="40"/>
                          <w:szCs w:val="40"/>
                        </w:rPr>
                        <w:t>Flu jab awards scheme</w:t>
                      </w:r>
                    </w:p>
                    <w:p w:rsidR="001C3FC1" w:rsidRPr="004E752A" w:rsidRDefault="00294162" w:rsidP="00F85B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E752A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Get recognised for having your free flu jab to help protect vulnerable patients in your care</w:t>
                      </w:r>
                    </w:p>
                    <w:p w:rsidR="001C3FC1" w:rsidRPr="009F32FD" w:rsidRDefault="001C3FC1" w:rsidP="001C3FC1">
                      <w:pPr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F85BB3" w:rsidP="006313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192990</wp:posOffset>
                </wp:positionV>
                <wp:extent cx="6904876" cy="976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876" cy="9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CFA" w:rsidRPr="0005369C" w:rsidRDefault="00AA1CFA" w:rsidP="00AA1C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36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Following on from the success of last year, NHS England and </w:t>
                            </w:r>
                            <w:r w:rsidR="00A462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NHS </w:t>
                            </w:r>
                            <w:r w:rsidRPr="000536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Improvement and Public Health England have </w:t>
                            </w:r>
                            <w:r w:rsidR="00F359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re-</w:t>
                            </w:r>
                            <w:r w:rsidRPr="000536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launched an awards scheme to recognise the efforts made by care </w:t>
                            </w:r>
                            <w:r w:rsidR="00F359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sector organisations</w:t>
                            </w:r>
                            <w:r w:rsidRPr="000536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who have achieved a high level of flu vaccine uptake. </w:t>
                            </w:r>
                          </w:p>
                          <w:p w:rsidR="001C3FC1" w:rsidRPr="007529D0" w:rsidRDefault="001C3FC1" w:rsidP="001C3FC1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5" o:spid="_x0000_s1027" style="position:absolute;margin-left:0;margin-top:15.2pt;width:543.7pt;height:76.8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" filled="f" stroked="f" strokeweight="1pt">
                <v:textbox>
                  <w:txbxContent>
                    <w:p w:rsidR="00AA1CFA" w:rsidRPr="0005369C" w:rsidRDefault="00AA1CFA" w:rsidP="00AA1CF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36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Following on from the success of last year, NHS England and </w:t>
                      </w:r>
                      <w:r w:rsidR="00A4627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NHS </w:t>
                      </w:r>
                      <w:r w:rsidRPr="000536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Improvement and Public Health England have </w:t>
                      </w:r>
                      <w:r w:rsidR="00F35911">
                        <w:rPr>
                          <w:rFonts w:ascii="Arial" w:hAnsi="Arial" w:cs="Arial"/>
                          <w:sz w:val="28"/>
                          <w:szCs w:val="28"/>
                        </w:rPr>
                        <w:t>re-</w:t>
                      </w:r>
                      <w:r w:rsidRPr="000536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launched an awards scheme to recognise the efforts made by care </w:t>
                      </w:r>
                      <w:r w:rsidR="00F35911">
                        <w:rPr>
                          <w:rFonts w:ascii="Arial" w:hAnsi="Arial" w:cs="Arial"/>
                          <w:sz w:val="28"/>
                          <w:szCs w:val="28"/>
                        </w:rPr>
                        <w:t>sector organisations</w:t>
                      </w:r>
                      <w:r w:rsidRPr="000536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who have achieved a high level of flu vaccine uptake. </w:t>
                      </w:r>
                    </w:p>
                    <w:p w:rsidR="001C3FC1" w:rsidRPr="007529D0" w:rsidRDefault="001C3FC1" w:rsidP="001C3FC1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3B0" w:rsidRPr="006313B0" w:rsidRDefault="006313B0" w:rsidP="006313B0"/>
    <w:p w:rsidR="006313B0" w:rsidRPr="006313B0" w:rsidRDefault="006313B0" w:rsidP="006313B0"/>
    <w:p w:rsidR="006313B0" w:rsidRPr="006313B0" w:rsidRDefault="00F85BB3" w:rsidP="006313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292165</wp:posOffset>
                </wp:positionV>
                <wp:extent cx="6893960" cy="770562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60" cy="7705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C1" w:rsidRPr="007529D0" w:rsidRDefault="001C3FC1" w:rsidP="001C3FC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Hlk23170348"/>
                            <w:r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 frontline health and social care workers</w:t>
                            </w:r>
                            <w:r w:rsidR="002B716E"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should have the flu vaccine to protect people</w:t>
                            </w:r>
                            <w:r w:rsid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they care for</w:t>
                            </w:r>
                            <w:bookmarkEnd w:id="1"/>
                            <w:r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who may not make a good</w:t>
                            </w:r>
                            <w:r w:rsidR="002B716E"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immune response to their own flu vaccine</w:t>
                            </w:r>
                            <w:r w:rsidR="007529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3" o:spid="_x0000_s1028" style="position:absolute;margin-left:-43.65pt;margin-top:23pt;width:542.85pt;height:6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" fillcolor="#1f3763 [1604]" strokecolor="#1f3763 [1604]" strokeweight="1pt">
                <v:textbox>
                  <w:txbxContent>
                    <w:p w:rsidR="001C3FC1" w:rsidRPr="007529D0" w:rsidRDefault="001C3FC1" w:rsidP="001C3FC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23170348"/>
                      <w:r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All frontline health and social care workers</w:t>
                      </w:r>
                      <w:r w:rsidR="002B716E"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should have the flu vaccine to protect people</w:t>
                      </w:r>
                      <w:r w:rsid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they care for</w:t>
                      </w:r>
                      <w:bookmarkEnd w:id="2"/>
                      <w:r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, who may not make a good</w:t>
                      </w:r>
                      <w:r w:rsidR="002B716E"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immune response to their own flu vaccine</w:t>
                      </w:r>
                      <w:r w:rsidR="007529D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313B0" w:rsidRPr="006313B0" w:rsidRDefault="006313B0" w:rsidP="006313B0"/>
    <w:p w:rsidR="006313B0" w:rsidRPr="006313B0" w:rsidRDefault="006313B0" w:rsidP="006313B0"/>
    <w:p w:rsidR="006313B0" w:rsidRPr="006313B0" w:rsidRDefault="00F85BB3" w:rsidP="006313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7B1CF" wp14:editId="568D01C7">
                <wp:simplePos x="0" y="0"/>
                <wp:positionH relativeFrom="margin">
                  <wp:align>center</wp:align>
                </wp:positionH>
                <wp:positionV relativeFrom="paragraph">
                  <wp:posOffset>236284</wp:posOffset>
                </wp:positionV>
                <wp:extent cx="6944931" cy="3739793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931" cy="373979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A2D" w:rsidRPr="004E752A" w:rsidRDefault="00761A2D" w:rsidP="00761A2D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What you need to do</w:t>
                            </w:r>
                          </w:p>
                          <w:p w:rsidR="00761A2D" w:rsidRPr="004E752A" w:rsidRDefault="00761A2D" w:rsidP="00761A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5B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get the vaccine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Take some identification that includes your name and the name of your employing organisation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a </w:t>
                            </w:r>
                            <w:r w:rsidR="009057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participating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pharmacy t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is offering the NHS flu vaccination service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you can ask your registered GP if they are signed up to the scheme.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Your ID could be 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 ID badge, a letter from your employer or a recent pay slip.  </w:t>
                            </w:r>
                          </w:p>
                          <w:p w:rsidR="00761A2D" w:rsidRPr="004E752A" w:rsidRDefault="00761A2D" w:rsidP="00761A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5B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be awarded 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Depending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the percentage of staff who have received the flu vaccine </w:t>
                            </w:r>
                            <w:r w:rsidRPr="00AA25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4E75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2020</w:t>
                            </w: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certificates will be presented to your organisation based upon the following uptake:</w:t>
                            </w:r>
                          </w:p>
                          <w:p w:rsidR="00761A2D" w:rsidRPr="004E752A" w:rsidRDefault="00761A2D" w:rsidP="00761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70% of staff or above - gold accreditation  </w:t>
                            </w:r>
                          </w:p>
                          <w:p w:rsidR="00761A2D" w:rsidRPr="004E752A" w:rsidRDefault="00761A2D" w:rsidP="00761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60-69% of staff - silver accreditation</w:t>
                            </w:r>
                          </w:p>
                          <w:p w:rsidR="00761A2D" w:rsidRPr="004E752A" w:rsidRDefault="00761A2D" w:rsidP="00761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50-59% of staff - bronze accreditation</w:t>
                            </w:r>
                          </w:p>
                          <w:p w:rsidR="00761A2D" w:rsidRPr="004E752A" w:rsidRDefault="00761A2D" w:rsidP="00761A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75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Make your appointment today and encourage colleagues to do the same, see if you can beat other care sector organisations in your area!</w:t>
                            </w:r>
                          </w:p>
                          <w:p w:rsidR="00060EA7" w:rsidRPr="006313B0" w:rsidRDefault="00060EA7" w:rsidP="00060EA7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97B1CF" id="Rectangle 8" o:spid="_x0000_s1029" style="position:absolute;margin-left:0;margin-top:18.6pt;width:546.85pt;height:294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" filled="f" stroked="f" strokeweight="1pt">
                <v:textbox>
                  <w:txbxContent>
                    <w:p w:rsidR="00761A2D" w:rsidRPr="004E752A" w:rsidRDefault="00761A2D" w:rsidP="00761A2D">
                      <w:pPr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4E752A"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  <w:t>What you need to do</w:t>
                      </w:r>
                    </w:p>
                    <w:p w:rsidR="00761A2D" w:rsidRPr="004E752A" w:rsidRDefault="00761A2D" w:rsidP="00761A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5B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get the vaccine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>Take some identification that includes your name and the name of your employing organisation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a </w:t>
                      </w:r>
                      <w:r w:rsidR="009057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participating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pharmacy t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>hat is offering the NHS flu vaccination service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you can ask your registered GP if they are signed up to the scheme.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Your ID could be 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 ID badge, a letter from your employer or a recent pay slip.  </w:t>
                      </w:r>
                    </w:p>
                    <w:p w:rsidR="00761A2D" w:rsidRPr="004E752A" w:rsidRDefault="00761A2D" w:rsidP="00761A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5B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be awarded 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Depending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the percentage of staff who have received the flu vaccine </w:t>
                      </w:r>
                      <w:r w:rsidRPr="00AA254A">
                        <w:rPr>
                          <w:rFonts w:ascii="Arial" w:hAnsi="Arial" w:cs="Arial"/>
                          <w:sz w:val="28"/>
                          <w:szCs w:val="28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31</w:t>
                      </w:r>
                      <w:r w:rsidRPr="004E75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2020</w:t>
                      </w: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>, certificates will be presented to your organisation based upon the following uptake:</w:t>
                      </w:r>
                    </w:p>
                    <w:p w:rsidR="00761A2D" w:rsidRPr="004E752A" w:rsidRDefault="00761A2D" w:rsidP="00761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70% of staff or above - gold accreditation  </w:t>
                      </w:r>
                    </w:p>
                    <w:p w:rsidR="00761A2D" w:rsidRPr="004E752A" w:rsidRDefault="00761A2D" w:rsidP="00761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>60-69% of staff - silver accreditation</w:t>
                      </w:r>
                    </w:p>
                    <w:p w:rsidR="00761A2D" w:rsidRPr="004E752A" w:rsidRDefault="00761A2D" w:rsidP="00761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752A">
                        <w:rPr>
                          <w:rFonts w:ascii="Arial" w:hAnsi="Arial" w:cs="Arial"/>
                          <w:sz w:val="28"/>
                          <w:szCs w:val="28"/>
                        </w:rPr>
                        <w:t>50-59% of staff - bronze accreditation</w:t>
                      </w:r>
                    </w:p>
                    <w:p w:rsidR="00761A2D" w:rsidRPr="004E752A" w:rsidRDefault="00761A2D" w:rsidP="00761A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75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Make your appointment today and encourage colleagues to do the same, see if you can beat other care sector organisations in your area!</w:t>
                      </w:r>
                    </w:p>
                    <w:p w:rsidR="00060EA7" w:rsidRPr="006313B0" w:rsidRDefault="00060EA7" w:rsidP="00060EA7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DB38D9" w:rsidP="006313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F4CB7" wp14:editId="594F0037">
                <wp:simplePos x="0" y="0"/>
                <wp:positionH relativeFrom="column">
                  <wp:posOffset>-554804</wp:posOffset>
                </wp:positionH>
                <wp:positionV relativeFrom="paragraph">
                  <wp:posOffset>372581</wp:posOffset>
                </wp:positionV>
                <wp:extent cx="6904233" cy="1387011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233" cy="138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3B0" w:rsidRPr="006313B0" w:rsidRDefault="006313B0" w:rsidP="006313B0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9F4CB7" id="Rectangle 12" o:spid="_x0000_s1030" style="position:absolute;margin-left:-43.7pt;margin-top:29.35pt;width:543.65pt;height:10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" filled="f" stroked="f" strokeweight="1pt">
                <v:textbox>
                  <w:txbxContent>
                    <w:p w:rsidR="006313B0" w:rsidRPr="006313B0" w:rsidRDefault="006313B0" w:rsidP="006313B0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Pr="006313B0" w:rsidRDefault="006313B0" w:rsidP="006313B0"/>
    <w:p w:rsidR="006313B0" w:rsidRDefault="006313B0" w:rsidP="007529D0">
      <w:pPr>
        <w:jc w:val="center"/>
      </w:pPr>
    </w:p>
    <w:p w:rsidR="00CA4C05" w:rsidRPr="006313B0" w:rsidRDefault="002B716E" w:rsidP="00161E17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558155" cy="161290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6E" w:rsidRDefault="00161E17" w:rsidP="00161E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366385" cy="1788795"/>
                                  <wp:effectExtent l="0" t="0" r="571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6385" cy="178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86.45pt;margin-top:21.6pt;width:437.65pt;height:127pt;z-index:25167155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" filled="f" stroked="f">
                <v:textbox>
                  <w:txbxContent>
                    <w:p w:rsidR="002B716E" w:rsidRDefault="00161E17" w:rsidP="00161E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66385" cy="1788795"/>
                            <wp:effectExtent l="0" t="0" r="571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6385" cy="178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13B0">
        <w:tab/>
      </w:r>
      <w:r w:rsidR="006313B0">
        <w:tab/>
      </w:r>
    </w:p>
    <w:sectPr w:rsidR="00CA4C05" w:rsidRPr="006313B0" w:rsidSect="009F32FD">
      <w:headerReference w:type="default" r:id="rId12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34" w:rsidRDefault="00873934" w:rsidP="00060EA7">
      <w:pPr>
        <w:spacing w:after="0" w:line="240" w:lineRule="auto"/>
      </w:pPr>
      <w:r>
        <w:separator/>
      </w:r>
    </w:p>
  </w:endnote>
  <w:endnote w:type="continuationSeparator" w:id="0">
    <w:p w:rsidR="00873934" w:rsidRDefault="00873934" w:rsidP="0006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34" w:rsidRDefault="00873934" w:rsidP="00060EA7">
      <w:pPr>
        <w:spacing w:after="0" w:line="240" w:lineRule="auto"/>
      </w:pPr>
      <w:r>
        <w:separator/>
      </w:r>
    </w:p>
  </w:footnote>
  <w:footnote w:type="continuationSeparator" w:id="0">
    <w:p w:rsidR="00873934" w:rsidRDefault="00873934" w:rsidP="0006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71" w:rsidRDefault="001D6871" w:rsidP="001D687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52755" cy="3651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4" cy="37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EEA"/>
    <w:multiLevelType w:val="hybridMultilevel"/>
    <w:tmpl w:val="7BBC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885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1"/>
    <w:rsid w:val="0005369C"/>
    <w:rsid w:val="00060EA7"/>
    <w:rsid w:val="00161E17"/>
    <w:rsid w:val="001B5D15"/>
    <w:rsid w:val="001C07A4"/>
    <w:rsid w:val="001C3FC1"/>
    <w:rsid w:val="001D0E4A"/>
    <w:rsid w:val="001D6871"/>
    <w:rsid w:val="00294162"/>
    <w:rsid w:val="002B716E"/>
    <w:rsid w:val="003F6420"/>
    <w:rsid w:val="0044217A"/>
    <w:rsid w:val="00482363"/>
    <w:rsid w:val="004D3C1D"/>
    <w:rsid w:val="004E1DC1"/>
    <w:rsid w:val="004E752A"/>
    <w:rsid w:val="004E7AC0"/>
    <w:rsid w:val="004F7B25"/>
    <w:rsid w:val="006313B0"/>
    <w:rsid w:val="006E69B9"/>
    <w:rsid w:val="0071793E"/>
    <w:rsid w:val="007529D0"/>
    <w:rsid w:val="00761A2D"/>
    <w:rsid w:val="00873934"/>
    <w:rsid w:val="009057C2"/>
    <w:rsid w:val="00940FA7"/>
    <w:rsid w:val="00992D36"/>
    <w:rsid w:val="009F32FD"/>
    <w:rsid w:val="00A4627A"/>
    <w:rsid w:val="00A66817"/>
    <w:rsid w:val="00AA1CFA"/>
    <w:rsid w:val="00AA254A"/>
    <w:rsid w:val="00AE4AE8"/>
    <w:rsid w:val="00B20A7B"/>
    <w:rsid w:val="00BD3C7A"/>
    <w:rsid w:val="00C95321"/>
    <w:rsid w:val="00CA3FFD"/>
    <w:rsid w:val="00CA4C05"/>
    <w:rsid w:val="00CF4CBA"/>
    <w:rsid w:val="00D8311B"/>
    <w:rsid w:val="00DB38D9"/>
    <w:rsid w:val="00E469B3"/>
    <w:rsid w:val="00F35911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B2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A7"/>
  </w:style>
  <w:style w:type="paragraph" w:styleId="Footer">
    <w:name w:val="footer"/>
    <w:basedOn w:val="Normal"/>
    <w:link w:val="FooterChar"/>
    <w:uiPriority w:val="99"/>
    <w:unhideWhenUsed/>
    <w:rsid w:val="0006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A7"/>
  </w:style>
  <w:style w:type="paragraph" w:styleId="BalloonText">
    <w:name w:val="Balloon Text"/>
    <w:basedOn w:val="Normal"/>
    <w:link w:val="BalloonTextChar"/>
    <w:uiPriority w:val="99"/>
    <w:semiHidden/>
    <w:unhideWhenUsed/>
    <w:rsid w:val="0099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B2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A7"/>
  </w:style>
  <w:style w:type="paragraph" w:styleId="Footer">
    <w:name w:val="footer"/>
    <w:basedOn w:val="Normal"/>
    <w:link w:val="FooterChar"/>
    <w:uiPriority w:val="99"/>
    <w:unhideWhenUsed/>
    <w:rsid w:val="00060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A7"/>
  </w:style>
  <w:style w:type="paragraph" w:styleId="BalloonText">
    <w:name w:val="Balloon Text"/>
    <w:basedOn w:val="Normal"/>
    <w:link w:val="BalloonTextChar"/>
    <w:uiPriority w:val="99"/>
    <w:semiHidden/>
    <w:unhideWhenUsed/>
    <w:rsid w:val="0099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C0C2-B06C-419A-948A-C7611AF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Lambert</dc:creator>
  <cp:lastModifiedBy>Sam Lisle</cp:lastModifiedBy>
  <cp:revision>2</cp:revision>
  <cp:lastPrinted>2019-10-23T09:00:00Z</cp:lastPrinted>
  <dcterms:created xsi:type="dcterms:W3CDTF">2020-01-08T12:05:00Z</dcterms:created>
  <dcterms:modified xsi:type="dcterms:W3CDTF">2020-01-08T12:05:00Z</dcterms:modified>
</cp:coreProperties>
</file>