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FB" w:rsidRDefault="00D60FFB">
      <w:pPr>
        <w:rPr>
          <w:rFonts w:ascii="Arial" w:hAnsi="Arial" w:cs="Arial"/>
          <w:b/>
          <w:sz w:val="24"/>
          <w:szCs w:val="24"/>
        </w:rPr>
      </w:pPr>
      <w:bookmarkStart w:id="0" w:name="_GoBack"/>
      <w:bookmarkEnd w:id="0"/>
      <w:r w:rsidRPr="005A3DE9">
        <w:rPr>
          <w:rFonts w:ascii="Arial" w:hAnsi="Arial" w:cs="Arial"/>
          <w:b/>
          <w:sz w:val="24"/>
          <w:szCs w:val="24"/>
        </w:rPr>
        <w:t>Letter to patients who have had a positive diagnosis of coeliac dise</w:t>
      </w:r>
      <w:r w:rsidR="005A3DE9">
        <w:rPr>
          <w:rFonts w:ascii="Arial" w:hAnsi="Arial" w:cs="Arial"/>
          <w:b/>
          <w:sz w:val="24"/>
          <w:szCs w:val="24"/>
        </w:rPr>
        <w:t>ase and get GFF on prescription</w:t>
      </w:r>
    </w:p>
    <w:p w:rsidR="005A3DE9" w:rsidRDefault="005A3DE9">
      <w:pPr>
        <w:rPr>
          <w:rFonts w:ascii="Arial" w:hAnsi="Arial" w:cs="Arial"/>
          <w:b/>
          <w:sz w:val="24"/>
          <w:szCs w:val="24"/>
        </w:rPr>
      </w:pPr>
    </w:p>
    <w:p w:rsidR="005A3DE9" w:rsidRPr="005A3DE9" w:rsidRDefault="005A3DE9">
      <w:pPr>
        <w:rPr>
          <w:rFonts w:ascii="Arial" w:hAnsi="Arial" w:cs="Arial"/>
          <w:b/>
          <w:sz w:val="24"/>
          <w:szCs w:val="24"/>
        </w:rPr>
      </w:pPr>
    </w:p>
    <w:p w:rsidR="009E09C8" w:rsidRPr="005A3DE9" w:rsidRDefault="00B5507B">
      <w:pPr>
        <w:rPr>
          <w:rFonts w:ascii="Arial" w:hAnsi="Arial" w:cs="Arial"/>
          <w:sz w:val="24"/>
          <w:szCs w:val="24"/>
        </w:rPr>
      </w:pPr>
      <w:r w:rsidRPr="005A3DE9">
        <w:rPr>
          <w:rFonts w:ascii="Arial" w:hAnsi="Arial" w:cs="Arial"/>
          <w:sz w:val="24"/>
          <w:szCs w:val="24"/>
        </w:rPr>
        <w:t xml:space="preserve">Dear </w:t>
      </w:r>
      <w:proofErr w:type="spellStart"/>
      <w:r w:rsidRPr="005A3DE9">
        <w:rPr>
          <w:rFonts w:ascii="Arial" w:hAnsi="Arial" w:cs="Arial"/>
          <w:sz w:val="24"/>
          <w:szCs w:val="24"/>
        </w:rPr>
        <w:t>xxxx</w:t>
      </w:r>
      <w:proofErr w:type="spellEnd"/>
      <w:r w:rsidRPr="005A3DE9">
        <w:rPr>
          <w:rFonts w:ascii="Arial" w:hAnsi="Arial" w:cs="Arial"/>
          <w:sz w:val="24"/>
          <w:szCs w:val="24"/>
        </w:rPr>
        <w:t xml:space="preserve"> (patient)</w:t>
      </w:r>
    </w:p>
    <w:p w:rsidR="003B2DDE" w:rsidRPr="005A3DE9" w:rsidRDefault="00B5507B">
      <w:pPr>
        <w:rPr>
          <w:rFonts w:ascii="Arial" w:hAnsi="Arial" w:cs="Arial"/>
          <w:sz w:val="24"/>
          <w:szCs w:val="24"/>
        </w:rPr>
      </w:pPr>
      <w:r w:rsidRPr="005A3DE9">
        <w:rPr>
          <w:rFonts w:ascii="Arial" w:hAnsi="Arial" w:cs="Arial"/>
          <w:sz w:val="24"/>
          <w:szCs w:val="24"/>
        </w:rPr>
        <w:t xml:space="preserve">NHS Vale of York Clinical Commissioning Group (CCG) </w:t>
      </w:r>
      <w:r w:rsidR="003B2DDE" w:rsidRPr="005A3DE9">
        <w:rPr>
          <w:rFonts w:ascii="Arial" w:hAnsi="Arial" w:cs="Arial"/>
          <w:sz w:val="24"/>
          <w:szCs w:val="24"/>
        </w:rPr>
        <w:t xml:space="preserve">is responsible for commissioning your healthcare. </w:t>
      </w:r>
    </w:p>
    <w:p w:rsidR="005007A4" w:rsidRPr="005A3DE9" w:rsidRDefault="005007A4">
      <w:pPr>
        <w:rPr>
          <w:rFonts w:ascii="Arial" w:hAnsi="Arial" w:cs="Arial"/>
          <w:sz w:val="24"/>
          <w:szCs w:val="24"/>
        </w:rPr>
      </w:pPr>
      <w:r w:rsidRPr="005A3DE9">
        <w:rPr>
          <w:rFonts w:ascii="Arial" w:hAnsi="Arial" w:cs="Arial"/>
          <w:sz w:val="24"/>
          <w:szCs w:val="24"/>
        </w:rPr>
        <w:t xml:space="preserve">Commissioning in the NHS involves making decisions about local need, the allocation of resources, the purchasing of services as well as their monitoring and review.  The CCG has a duty and responsibility to commission safe and effective services that </w:t>
      </w:r>
      <w:r w:rsidR="003B2DDE" w:rsidRPr="005A3DE9">
        <w:rPr>
          <w:rFonts w:ascii="Arial" w:hAnsi="Arial" w:cs="Arial"/>
          <w:sz w:val="24"/>
          <w:szCs w:val="24"/>
        </w:rPr>
        <w:t>d</w:t>
      </w:r>
      <w:r w:rsidRPr="005A3DE9">
        <w:rPr>
          <w:rFonts w:ascii="Arial" w:hAnsi="Arial" w:cs="Arial"/>
          <w:sz w:val="24"/>
          <w:szCs w:val="24"/>
        </w:rPr>
        <w:t>eliver the best affordable care</w:t>
      </w:r>
      <w:r w:rsidR="00F371D6">
        <w:rPr>
          <w:rFonts w:ascii="Arial" w:hAnsi="Arial" w:cs="Arial"/>
          <w:sz w:val="24"/>
          <w:szCs w:val="24"/>
        </w:rPr>
        <w:t xml:space="preserve"> within the resources available.</w:t>
      </w:r>
    </w:p>
    <w:p w:rsidR="00F371D6" w:rsidRDefault="005007A4">
      <w:pPr>
        <w:rPr>
          <w:rFonts w:ascii="Arial" w:hAnsi="Arial" w:cs="Arial"/>
          <w:sz w:val="24"/>
          <w:szCs w:val="24"/>
        </w:rPr>
      </w:pPr>
      <w:r w:rsidRPr="005A3DE9">
        <w:rPr>
          <w:rFonts w:ascii="Arial" w:hAnsi="Arial" w:cs="Arial"/>
          <w:sz w:val="24"/>
          <w:szCs w:val="24"/>
        </w:rPr>
        <w:t>As part of its review of the prescribing process in the Vale of York, t</w:t>
      </w:r>
      <w:r w:rsidR="00B5507B" w:rsidRPr="005A3DE9">
        <w:rPr>
          <w:rFonts w:ascii="Arial" w:hAnsi="Arial" w:cs="Arial"/>
          <w:sz w:val="24"/>
          <w:szCs w:val="24"/>
        </w:rPr>
        <w:t>h</w:t>
      </w:r>
      <w:r w:rsidRPr="005A3DE9">
        <w:rPr>
          <w:rFonts w:ascii="Arial" w:hAnsi="Arial" w:cs="Arial"/>
          <w:sz w:val="24"/>
          <w:szCs w:val="24"/>
        </w:rPr>
        <w:t xml:space="preserve">e CCG has recently analysed </w:t>
      </w:r>
      <w:r w:rsidR="00B5507B" w:rsidRPr="005A3DE9">
        <w:rPr>
          <w:rFonts w:ascii="Arial" w:hAnsi="Arial" w:cs="Arial"/>
          <w:sz w:val="24"/>
          <w:szCs w:val="24"/>
        </w:rPr>
        <w:t xml:space="preserve">the prescribing of gluten free foods for patients diagnosed with </w:t>
      </w:r>
      <w:r w:rsidRPr="005A3DE9">
        <w:rPr>
          <w:rFonts w:ascii="Arial" w:hAnsi="Arial" w:cs="Arial"/>
          <w:sz w:val="24"/>
          <w:szCs w:val="24"/>
        </w:rPr>
        <w:t xml:space="preserve">coeliac disease. </w:t>
      </w:r>
    </w:p>
    <w:p w:rsidR="00D42D28" w:rsidRDefault="00D42D28" w:rsidP="00D42D28">
      <w:pPr>
        <w:rPr>
          <w:rFonts w:ascii="Arial" w:hAnsi="Arial" w:cs="Arial"/>
          <w:sz w:val="24"/>
          <w:szCs w:val="24"/>
        </w:rPr>
      </w:pPr>
      <w:r>
        <w:rPr>
          <w:rFonts w:ascii="Arial" w:hAnsi="Arial" w:cs="Arial"/>
          <w:sz w:val="24"/>
          <w:szCs w:val="24"/>
        </w:rPr>
        <w:t xml:space="preserve">Prescribing without a biopsy may mean that patients are unnecessarily restricting their diet. It can also lead to unnecessary prescribing spend. </w:t>
      </w:r>
    </w:p>
    <w:p w:rsidR="00D42D28" w:rsidRDefault="00D42D28" w:rsidP="00D42D28">
      <w:pPr>
        <w:rPr>
          <w:rFonts w:ascii="Arial" w:hAnsi="Arial" w:cs="Arial"/>
          <w:sz w:val="24"/>
          <w:szCs w:val="24"/>
        </w:rPr>
      </w:pPr>
      <w:r>
        <w:rPr>
          <w:rFonts w:ascii="Arial" w:hAnsi="Arial" w:cs="Arial"/>
          <w:sz w:val="24"/>
          <w:szCs w:val="24"/>
        </w:rPr>
        <w:t>The CCG has reviewed the prescribing of gluten free food in other areas and used this information to shape its decision to limit gluten free prescribing to bread and flour from the 1 September 2014. Other gluten free products will no longer be available on prescription.</w:t>
      </w:r>
    </w:p>
    <w:p w:rsidR="00F371D6" w:rsidRDefault="00F371D6">
      <w:pPr>
        <w:rPr>
          <w:rFonts w:ascii="Arial" w:hAnsi="Arial" w:cs="Arial"/>
          <w:sz w:val="24"/>
          <w:szCs w:val="24"/>
        </w:rPr>
      </w:pPr>
      <w:r>
        <w:rPr>
          <w:rFonts w:ascii="Arial" w:hAnsi="Arial" w:cs="Arial"/>
          <w:sz w:val="24"/>
          <w:szCs w:val="24"/>
        </w:rPr>
        <w:t>Please see the recommended amounts of units prescribed below. (NB: A 400g loaf of bread accounts for 1 unit and 500g bread flour accounts for 2 units)</w:t>
      </w:r>
      <w:r w:rsidR="00342D2E">
        <w:rPr>
          <w:rFonts w:ascii="Arial" w:hAnsi="Arial" w:cs="Arial"/>
          <w:sz w:val="24"/>
          <w:szCs w:val="24"/>
        </w:rPr>
        <w:t>.</w:t>
      </w:r>
    </w:p>
    <w:p w:rsidR="000C53E9" w:rsidRDefault="00F371D6">
      <w:pPr>
        <w:rPr>
          <w:rStyle w:val="Hyperlink"/>
          <w:rFonts w:ascii="Arial" w:hAnsi="Arial" w:cs="Arial"/>
          <w:sz w:val="24"/>
          <w:szCs w:val="24"/>
        </w:rPr>
      </w:pPr>
      <w:r w:rsidRPr="00A4186B">
        <w:rPr>
          <w:rStyle w:val="Hyperlink"/>
          <w:rFonts w:ascii="Arial" w:hAnsi="Arial" w:cs="Arial"/>
          <w:noProof/>
          <w:color w:val="auto"/>
          <w:sz w:val="24"/>
          <w:szCs w:val="24"/>
          <w:u w:val="none"/>
          <w:lang w:eastAsia="en-GB"/>
        </w:rPr>
        <mc:AlternateContent>
          <mc:Choice Requires="wps">
            <w:drawing>
              <wp:anchor distT="0" distB="0" distL="114300" distR="114300" simplePos="0" relativeHeight="251659264" behindDoc="0" locked="0" layoutInCell="1" allowOverlap="1" wp14:anchorId="00F3FA49" wp14:editId="2AD56164">
                <wp:simplePos x="0" y="0"/>
                <wp:positionH relativeFrom="column">
                  <wp:posOffset>2924175</wp:posOffset>
                </wp:positionH>
                <wp:positionV relativeFrom="paragraph">
                  <wp:posOffset>304800</wp:posOffset>
                </wp:positionV>
                <wp:extent cx="2762250" cy="28003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00350"/>
                        </a:xfrm>
                        <a:prstGeom prst="rect">
                          <a:avLst/>
                        </a:prstGeom>
                        <a:solidFill>
                          <a:srgbClr val="FFFFFF"/>
                        </a:solidFill>
                        <a:ln w="9525">
                          <a:noFill/>
                          <a:miter lim="800000"/>
                          <a:headEnd/>
                          <a:tailEnd/>
                        </a:ln>
                      </wps:spPr>
                      <wps:txbx>
                        <w:txbxContent>
                          <w:p w:rsidR="00F371D6" w:rsidRPr="00BB5E8E" w:rsidRDefault="00F371D6" w:rsidP="00F371D6">
                            <w:pPr>
                              <w:spacing w:after="0" w:line="240" w:lineRule="auto"/>
                              <w:rPr>
                                <w:rFonts w:ascii="Arial" w:eastAsia="Times New Roman" w:hAnsi="Arial" w:cs="Arial"/>
                                <w:sz w:val="20"/>
                                <w:szCs w:val="20"/>
                                <w:lang w:val="en" w:eastAsia="en-GB"/>
                              </w:rPr>
                            </w:pPr>
                            <w:r w:rsidRPr="00BB5E8E">
                              <w:rPr>
                                <w:rFonts w:ascii="Arial" w:eastAsia="Times New Roman" w:hAnsi="Arial" w:cs="Arial"/>
                                <w:sz w:val="20"/>
                                <w:szCs w:val="20"/>
                                <w:lang w:val="en" w:eastAsia="en-GB"/>
                              </w:rPr>
                              <w:t>R</w:t>
                            </w:r>
                            <w:r>
                              <w:rPr>
                                <w:rFonts w:ascii="Arial" w:eastAsia="Times New Roman" w:hAnsi="Arial" w:cs="Arial"/>
                                <w:sz w:val="20"/>
                                <w:szCs w:val="20"/>
                                <w:lang w:val="en" w:eastAsia="en-GB"/>
                              </w:rPr>
                              <w:t xml:space="preserve">ecommended amounts per month: </w:t>
                            </w:r>
                            <w:r w:rsidRPr="00BB5E8E">
                              <w:rPr>
                                <w:rFonts w:ascii="Arial" w:eastAsia="Times New Roman" w:hAnsi="Arial" w:cs="Arial"/>
                                <w:sz w:val="20"/>
                                <w:szCs w:val="20"/>
                                <w:lang w:val="en"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741"/>
                            </w:tblGrid>
                            <w:tr w:rsidR="00F371D6" w:rsidRPr="00BB5E8E" w:rsidTr="008B6913">
                              <w:tc>
                                <w:tcPr>
                                  <w:tcW w:w="2660" w:type="dxa"/>
                                  <w:shd w:val="clear" w:color="auto" w:fill="BFBFBF"/>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 xml:space="preserve">Age and sex </w:t>
                                  </w:r>
                                </w:p>
                              </w:tc>
                              <w:tc>
                                <w:tcPr>
                                  <w:tcW w:w="1843" w:type="dxa"/>
                                  <w:tcBorders>
                                    <w:right w:val="single" w:sz="4" w:space="0" w:color="auto"/>
                                  </w:tcBorders>
                                  <w:shd w:val="clear" w:color="auto" w:fill="BFBFBF"/>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 xml:space="preserve">Number of units </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1-3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10</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4-6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11</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7-10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13</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11-14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15</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15-18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18</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male 19-59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18</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male 60-74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16</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male 75+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female 19-74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female 75+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12</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Higher level of physical activity (any age or sex)</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add 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breastfeeding</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add 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3rd trimester pregnancy</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add 1</w:t>
                                  </w:r>
                                </w:p>
                              </w:tc>
                            </w:tr>
                          </w:tbl>
                          <w:p w:rsidR="00F371D6" w:rsidRPr="00BB5E8E" w:rsidRDefault="00F371D6" w:rsidP="00F371D6">
                            <w:pPr>
                              <w:spacing w:after="0" w:line="240" w:lineRule="auto"/>
                              <w:rPr>
                                <w:rFonts w:ascii="Arial" w:eastAsia="Times New Roman" w:hAnsi="Arial" w:cs="Arial"/>
                                <w:sz w:val="20"/>
                                <w:szCs w:val="20"/>
                                <w:lang w:val="en" w:eastAsia="en-GB"/>
                              </w:rPr>
                            </w:pPr>
                          </w:p>
                          <w:p w:rsidR="00F371D6" w:rsidRDefault="00F371D6" w:rsidP="00F371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0.25pt;margin-top:24pt;width:217.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" stroked="f">
                <v:textbox>
                  <w:txbxContent>
                    <w:p w:rsidR="00F371D6" w:rsidRPr="00BB5E8E" w:rsidRDefault="00F371D6" w:rsidP="00F371D6">
                      <w:pPr>
                        <w:spacing w:after="0" w:line="240" w:lineRule="auto"/>
                        <w:rPr>
                          <w:rFonts w:ascii="Arial" w:eastAsia="Times New Roman" w:hAnsi="Arial" w:cs="Arial"/>
                          <w:sz w:val="20"/>
                          <w:szCs w:val="20"/>
                          <w:lang w:val="en" w:eastAsia="en-GB"/>
                        </w:rPr>
                      </w:pPr>
                      <w:r w:rsidRPr="00BB5E8E">
                        <w:rPr>
                          <w:rFonts w:ascii="Arial" w:eastAsia="Times New Roman" w:hAnsi="Arial" w:cs="Arial"/>
                          <w:sz w:val="20"/>
                          <w:szCs w:val="20"/>
                          <w:lang w:val="en" w:eastAsia="en-GB"/>
                        </w:rPr>
                        <w:t>R</w:t>
                      </w:r>
                      <w:r>
                        <w:rPr>
                          <w:rFonts w:ascii="Arial" w:eastAsia="Times New Roman" w:hAnsi="Arial" w:cs="Arial"/>
                          <w:sz w:val="20"/>
                          <w:szCs w:val="20"/>
                          <w:lang w:val="en" w:eastAsia="en-GB"/>
                        </w:rPr>
                        <w:t xml:space="preserve">ecommended amounts per month: </w:t>
                      </w:r>
                      <w:r w:rsidRPr="00BB5E8E">
                        <w:rPr>
                          <w:rFonts w:ascii="Arial" w:eastAsia="Times New Roman" w:hAnsi="Arial" w:cs="Arial"/>
                          <w:sz w:val="20"/>
                          <w:szCs w:val="20"/>
                          <w:lang w:val="en"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741"/>
                      </w:tblGrid>
                      <w:tr w:rsidR="00F371D6" w:rsidRPr="00BB5E8E" w:rsidTr="008B6913">
                        <w:tc>
                          <w:tcPr>
                            <w:tcW w:w="2660" w:type="dxa"/>
                            <w:shd w:val="clear" w:color="auto" w:fill="BFBFBF"/>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 xml:space="preserve">Age and sex </w:t>
                            </w:r>
                          </w:p>
                        </w:tc>
                        <w:tc>
                          <w:tcPr>
                            <w:tcW w:w="1843" w:type="dxa"/>
                            <w:tcBorders>
                              <w:right w:val="single" w:sz="4" w:space="0" w:color="auto"/>
                            </w:tcBorders>
                            <w:shd w:val="clear" w:color="auto" w:fill="BFBFBF"/>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 xml:space="preserve">Number of units </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1-3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10</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4-6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11</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7-10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13</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11-14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15</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child 15-18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18</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male 19-59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18</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male 60-74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16</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male 75+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female 19-74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female 75+ years</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val="en" w:eastAsia="en-GB"/>
                              </w:rPr>
                              <w:t>12</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Higher level of physical activity (any age or sex)</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add 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breastfeeding</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add 4</w:t>
                            </w:r>
                          </w:p>
                        </w:tc>
                      </w:tr>
                      <w:tr w:rsidR="00F371D6" w:rsidRPr="00BB5E8E" w:rsidTr="008B6913">
                        <w:tc>
                          <w:tcPr>
                            <w:tcW w:w="2660" w:type="dxa"/>
                            <w:shd w:val="clear" w:color="auto" w:fill="auto"/>
                          </w:tcPr>
                          <w:p w:rsidR="00F371D6" w:rsidRPr="00BB5E8E" w:rsidRDefault="00F371D6" w:rsidP="008B6913">
                            <w:pPr>
                              <w:spacing w:after="0" w:line="240" w:lineRule="auto"/>
                              <w:rPr>
                                <w:rFonts w:ascii="Arial" w:eastAsia="Calibri" w:hAnsi="Arial" w:cs="Arial"/>
                                <w:sz w:val="20"/>
                                <w:szCs w:val="20"/>
                                <w:lang w:eastAsia="en-GB"/>
                              </w:rPr>
                            </w:pPr>
                            <w:r w:rsidRPr="00BB5E8E">
                              <w:rPr>
                                <w:rFonts w:ascii="Arial" w:eastAsia="Calibri" w:hAnsi="Arial" w:cs="Arial"/>
                                <w:sz w:val="20"/>
                                <w:szCs w:val="20"/>
                                <w:lang w:eastAsia="en-GB"/>
                              </w:rPr>
                              <w:t>3rd trimester pregnancy</w:t>
                            </w:r>
                          </w:p>
                        </w:tc>
                        <w:tc>
                          <w:tcPr>
                            <w:tcW w:w="1843" w:type="dxa"/>
                            <w:tcBorders>
                              <w:right w:val="single" w:sz="4" w:space="0" w:color="auto"/>
                            </w:tcBorders>
                            <w:shd w:val="clear" w:color="auto" w:fill="auto"/>
                          </w:tcPr>
                          <w:p w:rsidR="00F371D6" w:rsidRPr="00BB5E8E" w:rsidRDefault="00F371D6" w:rsidP="008B6913">
                            <w:pPr>
                              <w:spacing w:after="0" w:line="240" w:lineRule="auto"/>
                              <w:rPr>
                                <w:rFonts w:ascii="Arial" w:eastAsia="Calibri" w:hAnsi="Arial" w:cs="Arial"/>
                                <w:sz w:val="20"/>
                                <w:szCs w:val="20"/>
                                <w:lang w:val="en" w:eastAsia="en-GB"/>
                              </w:rPr>
                            </w:pPr>
                            <w:r w:rsidRPr="00BB5E8E">
                              <w:rPr>
                                <w:rFonts w:ascii="Arial" w:eastAsia="Calibri" w:hAnsi="Arial" w:cs="Arial"/>
                                <w:sz w:val="20"/>
                                <w:szCs w:val="20"/>
                                <w:lang w:eastAsia="en-GB"/>
                              </w:rPr>
                              <w:t>add 1</w:t>
                            </w:r>
                          </w:p>
                        </w:tc>
                      </w:tr>
                    </w:tbl>
                    <w:p w:rsidR="00F371D6" w:rsidRPr="00BB5E8E" w:rsidRDefault="00F371D6" w:rsidP="00F371D6">
                      <w:pPr>
                        <w:spacing w:after="0" w:line="240" w:lineRule="auto"/>
                        <w:rPr>
                          <w:rFonts w:ascii="Arial" w:eastAsia="Times New Roman" w:hAnsi="Arial" w:cs="Arial"/>
                          <w:sz w:val="20"/>
                          <w:szCs w:val="20"/>
                          <w:lang w:val="en" w:eastAsia="en-GB"/>
                        </w:rPr>
                      </w:pPr>
                    </w:p>
                    <w:p w:rsidR="00F371D6" w:rsidRDefault="00F371D6" w:rsidP="00F371D6"/>
                  </w:txbxContent>
                </v:textbox>
              </v:shape>
            </w:pict>
          </mc:Fallback>
        </mc:AlternateContent>
      </w:r>
      <w:r w:rsidR="000C53E9" w:rsidRPr="005A3DE9">
        <w:rPr>
          <w:rFonts w:ascii="Arial" w:hAnsi="Arial" w:cs="Arial"/>
          <w:sz w:val="24"/>
          <w:szCs w:val="24"/>
        </w:rPr>
        <w:t xml:space="preserve">If you </w:t>
      </w:r>
      <w:r w:rsidR="005A3DE9" w:rsidRPr="005A3DE9">
        <w:rPr>
          <w:rFonts w:ascii="Arial" w:hAnsi="Arial" w:cs="Arial"/>
          <w:sz w:val="24"/>
          <w:szCs w:val="24"/>
        </w:rPr>
        <w:t xml:space="preserve">have any queries about this change in prescribing, please contact </w:t>
      </w:r>
      <w:hyperlink r:id="rId5" w:history="1">
        <w:r w:rsidRPr="003666C2">
          <w:rPr>
            <w:rStyle w:val="Hyperlink"/>
            <w:rFonts w:ascii="Arial" w:hAnsi="Arial" w:cs="Arial"/>
            <w:sz w:val="24"/>
            <w:szCs w:val="24"/>
          </w:rPr>
          <w:t>valeofyork.contactus@nhs.net</w:t>
        </w:r>
      </w:hyperlink>
    </w:p>
    <w:p w:rsidR="00342D2E" w:rsidRDefault="00342D2E">
      <w:pPr>
        <w:rPr>
          <w:rFonts w:ascii="Arial" w:hAnsi="Arial" w:cs="Arial"/>
          <w:sz w:val="24"/>
          <w:szCs w:val="24"/>
        </w:rPr>
      </w:pPr>
    </w:p>
    <w:p w:rsidR="005A3DE9" w:rsidRDefault="005A3DE9">
      <w:pPr>
        <w:rPr>
          <w:rFonts w:ascii="Arial" w:hAnsi="Arial" w:cs="Arial"/>
          <w:sz w:val="24"/>
          <w:szCs w:val="24"/>
        </w:rPr>
      </w:pPr>
      <w:r>
        <w:rPr>
          <w:rFonts w:ascii="Arial" w:hAnsi="Arial" w:cs="Arial"/>
          <w:sz w:val="24"/>
          <w:szCs w:val="24"/>
        </w:rPr>
        <w:t>Yours sincerely</w:t>
      </w:r>
    </w:p>
    <w:p w:rsidR="005A3DE9" w:rsidRDefault="005A3DE9">
      <w:pPr>
        <w:rPr>
          <w:rFonts w:ascii="Arial" w:hAnsi="Arial" w:cs="Arial"/>
          <w:sz w:val="24"/>
          <w:szCs w:val="24"/>
        </w:rPr>
      </w:pPr>
    </w:p>
    <w:p w:rsidR="00D417F1" w:rsidRDefault="00D417F1">
      <w:pPr>
        <w:rPr>
          <w:rFonts w:ascii="Arial" w:hAnsi="Arial" w:cs="Arial"/>
          <w:sz w:val="24"/>
          <w:szCs w:val="24"/>
        </w:rPr>
      </w:pPr>
      <w:proofErr w:type="spellStart"/>
      <w:proofErr w:type="gramStart"/>
      <w:r>
        <w:rPr>
          <w:rFonts w:ascii="Arial" w:hAnsi="Arial" w:cs="Arial"/>
          <w:sz w:val="24"/>
          <w:szCs w:val="24"/>
        </w:rPr>
        <w:t>xxxxxxxxxxxxxxxxxxxxxx</w:t>
      </w:r>
      <w:proofErr w:type="spellEnd"/>
      <w:proofErr w:type="gramEnd"/>
    </w:p>
    <w:sectPr w:rsidR="00D41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7B"/>
    <w:rsid w:val="00071200"/>
    <w:rsid w:val="000C53E9"/>
    <w:rsid w:val="001408A6"/>
    <w:rsid w:val="00271DE0"/>
    <w:rsid w:val="002D0B27"/>
    <w:rsid w:val="00307590"/>
    <w:rsid w:val="00313116"/>
    <w:rsid w:val="00342D2E"/>
    <w:rsid w:val="003B2DDE"/>
    <w:rsid w:val="005007A4"/>
    <w:rsid w:val="005A3DE9"/>
    <w:rsid w:val="00803108"/>
    <w:rsid w:val="00892DB2"/>
    <w:rsid w:val="00995E31"/>
    <w:rsid w:val="009C1789"/>
    <w:rsid w:val="009E09C8"/>
    <w:rsid w:val="00AD72A7"/>
    <w:rsid w:val="00B0253F"/>
    <w:rsid w:val="00B5507B"/>
    <w:rsid w:val="00BB2A04"/>
    <w:rsid w:val="00C01309"/>
    <w:rsid w:val="00D417F1"/>
    <w:rsid w:val="00D42D28"/>
    <w:rsid w:val="00D60FFB"/>
    <w:rsid w:val="00E9216A"/>
    <w:rsid w:val="00F371D6"/>
    <w:rsid w:val="00F6568E"/>
    <w:rsid w:val="00FD2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1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1515144307">
      <w:bodyDiv w:val="1"/>
      <w:marLeft w:val="0"/>
      <w:marRight w:val="0"/>
      <w:marTop w:val="0"/>
      <w:marBottom w:val="0"/>
      <w:divBdr>
        <w:top w:val="none" w:sz="0" w:space="0" w:color="auto"/>
        <w:left w:val="none" w:sz="0" w:space="0" w:color="auto"/>
        <w:bottom w:val="none" w:sz="0" w:space="0" w:color="auto"/>
        <w:right w:val="none" w:sz="0" w:space="0" w:color="auto"/>
      </w:divBdr>
      <w:divsChild>
        <w:div w:id="644774099">
          <w:marLeft w:val="0"/>
          <w:marRight w:val="0"/>
          <w:marTop w:val="0"/>
          <w:marBottom w:val="0"/>
          <w:divBdr>
            <w:top w:val="none" w:sz="0" w:space="0" w:color="auto"/>
            <w:left w:val="none" w:sz="0" w:space="0" w:color="auto"/>
            <w:bottom w:val="none" w:sz="0" w:space="0" w:color="auto"/>
            <w:right w:val="none" w:sz="0" w:space="0" w:color="auto"/>
          </w:divBdr>
          <w:divsChild>
            <w:div w:id="1854878351">
              <w:marLeft w:val="0"/>
              <w:marRight w:val="0"/>
              <w:marTop w:val="0"/>
              <w:marBottom w:val="420"/>
              <w:divBdr>
                <w:top w:val="none" w:sz="0" w:space="0" w:color="auto"/>
                <w:left w:val="none" w:sz="0" w:space="0" w:color="auto"/>
                <w:bottom w:val="none" w:sz="0" w:space="0" w:color="auto"/>
                <w:right w:val="none" w:sz="0" w:space="0" w:color="auto"/>
              </w:divBdr>
              <w:divsChild>
                <w:div w:id="180317835">
                  <w:marLeft w:val="0"/>
                  <w:marRight w:val="0"/>
                  <w:marTop w:val="0"/>
                  <w:marBottom w:val="0"/>
                  <w:divBdr>
                    <w:top w:val="none" w:sz="0" w:space="0" w:color="auto"/>
                    <w:left w:val="none" w:sz="0" w:space="0" w:color="auto"/>
                    <w:bottom w:val="none" w:sz="0" w:space="0" w:color="auto"/>
                    <w:right w:val="none" w:sz="0" w:space="0" w:color="auto"/>
                  </w:divBdr>
                  <w:divsChild>
                    <w:div w:id="2028213773">
                      <w:marLeft w:val="0"/>
                      <w:marRight w:val="0"/>
                      <w:marTop w:val="0"/>
                      <w:marBottom w:val="0"/>
                      <w:divBdr>
                        <w:top w:val="none" w:sz="0" w:space="0" w:color="auto"/>
                        <w:left w:val="none" w:sz="0" w:space="0" w:color="auto"/>
                        <w:bottom w:val="none" w:sz="0" w:space="0" w:color="auto"/>
                        <w:right w:val="none" w:sz="0" w:space="0" w:color="auto"/>
                      </w:divBdr>
                      <w:divsChild>
                        <w:div w:id="1793010394">
                          <w:marLeft w:val="0"/>
                          <w:marRight w:val="0"/>
                          <w:marTop w:val="0"/>
                          <w:marBottom w:val="0"/>
                          <w:divBdr>
                            <w:top w:val="none" w:sz="0" w:space="0" w:color="auto"/>
                            <w:left w:val="none" w:sz="0" w:space="0" w:color="auto"/>
                            <w:bottom w:val="none" w:sz="0" w:space="0" w:color="auto"/>
                            <w:right w:val="none" w:sz="0" w:space="0" w:color="auto"/>
                          </w:divBdr>
                          <w:divsChild>
                            <w:div w:id="142888361">
                              <w:marLeft w:val="0"/>
                              <w:marRight w:val="0"/>
                              <w:marTop w:val="0"/>
                              <w:marBottom w:val="0"/>
                              <w:divBdr>
                                <w:top w:val="none" w:sz="0" w:space="0" w:color="auto"/>
                                <w:left w:val="none" w:sz="0" w:space="0" w:color="auto"/>
                                <w:bottom w:val="none" w:sz="0" w:space="0" w:color="auto"/>
                                <w:right w:val="none" w:sz="0" w:space="0" w:color="auto"/>
                              </w:divBdr>
                              <w:divsChild>
                                <w:div w:id="2085174710">
                                  <w:marLeft w:val="0"/>
                                  <w:marRight w:val="0"/>
                                  <w:marTop w:val="0"/>
                                  <w:marBottom w:val="0"/>
                                  <w:divBdr>
                                    <w:top w:val="none" w:sz="0" w:space="0" w:color="auto"/>
                                    <w:left w:val="none" w:sz="0" w:space="0" w:color="auto"/>
                                    <w:bottom w:val="none" w:sz="0" w:space="0" w:color="auto"/>
                                    <w:right w:val="none" w:sz="0" w:space="0" w:color="auto"/>
                                  </w:divBdr>
                                  <w:divsChild>
                                    <w:div w:id="14803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eofyork.contactus@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2014-08-26T14:32:00Z</dcterms:created>
  <dcterms:modified xsi:type="dcterms:W3CDTF">2014-08-26T14:32:00Z</dcterms:modified>
</cp:coreProperties>
</file>