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3A" w:rsidRDefault="00C44C3A" w:rsidP="00C44C3A">
      <w:pPr>
        <w:rPr>
          <w:rFonts w:ascii="Arial" w:hAnsi="Arial" w:cs="Arial"/>
          <w:b/>
          <w:bCs/>
          <w:color w:val="FF0000"/>
          <w:sz w:val="72"/>
          <w:szCs w:val="72"/>
        </w:rPr>
      </w:pPr>
      <w:r>
        <w:rPr>
          <w:rFonts w:ascii="Arial" w:hAnsi="Arial" w:cs="Arial"/>
          <w:b/>
          <w:bCs/>
          <w:color w:val="FF0000"/>
          <w:sz w:val="72"/>
          <w:szCs w:val="72"/>
          <w:lang w:eastAsia="en-GB"/>
        </w:rPr>
        <w:t>COVID-19 update</w:t>
      </w:r>
    </w:p>
    <w:p w:rsidR="00C44C3A" w:rsidRDefault="00C44C3A" w:rsidP="00C44C3A">
      <w:pPr>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3pm 13 May 2020</w:t>
      </w:r>
    </w:p>
    <w:p w:rsidR="00C44C3A" w:rsidRDefault="00C44C3A" w:rsidP="00C44C3A">
      <w:pPr>
        <w:jc w:val="right"/>
        <w:rPr>
          <w:rFonts w:ascii="Arial" w:hAnsi="Arial" w:cs="Arial"/>
          <w:color w:val="000000"/>
          <w:sz w:val="12"/>
          <w:szCs w:val="12"/>
        </w:rPr>
      </w:pPr>
    </w:p>
    <w:p w:rsidR="00C44C3A" w:rsidRDefault="00C44C3A" w:rsidP="00C44C3A">
      <w:pPr>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C44C3A" w:rsidRDefault="00C44C3A" w:rsidP="00C44C3A">
      <w:pPr>
        <w:rPr>
          <w:rFonts w:ascii="Arial" w:hAnsi="Arial" w:cs="Arial"/>
          <w:color w:val="FF0000"/>
          <w:sz w:val="12"/>
          <w:szCs w:val="12"/>
          <w:lang w:eastAsia="en-GB"/>
        </w:rPr>
      </w:pPr>
    </w:p>
    <w:p w:rsidR="00C44C3A" w:rsidRDefault="00C44C3A" w:rsidP="00C44C3A">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Updates to the RSS COVID-19 web page</w:t>
      </w:r>
    </w:p>
    <w:p w:rsidR="00C44C3A" w:rsidRDefault="00C44C3A" w:rsidP="00C44C3A">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Imaging / Radiology</w:t>
      </w:r>
    </w:p>
    <w:p w:rsidR="00C44C3A" w:rsidRDefault="00C44C3A" w:rsidP="00C44C3A">
      <w:pPr>
        <w:pStyle w:val="ListParagraph"/>
        <w:numPr>
          <w:ilvl w:val="0"/>
          <w:numId w:val="1"/>
        </w:numPr>
        <w:spacing w:line="276" w:lineRule="auto"/>
        <w:rPr>
          <w:rFonts w:ascii="Arial" w:hAnsi="Arial" w:cs="Arial"/>
          <w:color w:val="FF0000"/>
          <w:sz w:val="28"/>
          <w:szCs w:val="28"/>
        </w:rPr>
      </w:pPr>
      <w:r>
        <w:rPr>
          <w:rFonts w:ascii="Arial" w:hAnsi="Arial" w:cs="Arial"/>
          <w:color w:val="FF0000"/>
          <w:sz w:val="28"/>
          <w:szCs w:val="28"/>
        </w:rPr>
        <w:t>Medicines and prescribing</w:t>
      </w:r>
    </w:p>
    <w:p w:rsidR="00C44C3A" w:rsidRDefault="00C44C3A" w:rsidP="00C44C3A">
      <w:pPr>
        <w:rPr>
          <w:rFonts w:ascii="Arial" w:hAnsi="Arial" w:cs="Arial"/>
          <w:color w:val="000000"/>
          <w:sz w:val="12"/>
          <w:szCs w:val="12"/>
          <w:lang w:eastAsia="en-GB"/>
        </w:rPr>
      </w:pPr>
    </w:p>
    <w:p w:rsidR="00C44C3A" w:rsidRDefault="00C44C3A" w:rsidP="00C44C3A">
      <w:pPr>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C44C3A" w:rsidRDefault="00C44C3A" w:rsidP="00C44C3A">
      <w:pPr>
        <w:rPr>
          <w:rFonts w:ascii="Arial" w:hAnsi="Arial" w:cs="Arial"/>
          <w:color w:val="000000"/>
          <w:sz w:val="12"/>
          <w:szCs w:val="12"/>
          <w:lang w:eastAsia="en-GB"/>
        </w:rPr>
      </w:pPr>
    </w:p>
    <w:p w:rsidR="00C44C3A" w:rsidRDefault="00C44C3A" w:rsidP="00C44C3A">
      <w:pPr>
        <w:pStyle w:val="ListParagraph"/>
        <w:numPr>
          <w:ilvl w:val="0"/>
          <w:numId w:val="2"/>
        </w:numPr>
        <w:spacing w:line="276" w:lineRule="auto"/>
        <w:rPr>
          <w:rFonts w:ascii="Arial" w:hAnsi="Arial" w:cs="Arial"/>
          <w:color w:val="000000"/>
          <w:sz w:val="24"/>
          <w:szCs w:val="24"/>
          <w:lang w:eastAsia="en-GB"/>
        </w:rPr>
      </w:pPr>
      <w:r>
        <w:rPr>
          <w:rFonts w:ascii="Arial" w:hAnsi="Arial" w:cs="Arial"/>
          <w:color w:val="000000"/>
          <w:sz w:val="24"/>
          <w:szCs w:val="24"/>
          <w:lang w:eastAsia="en-GB"/>
        </w:rPr>
        <w:t>None</w:t>
      </w:r>
    </w:p>
    <w:p w:rsidR="00C44C3A" w:rsidRDefault="00C44C3A" w:rsidP="00C44C3A">
      <w:pPr>
        <w:rPr>
          <w:rFonts w:ascii="Arial" w:hAnsi="Arial" w:cs="Arial"/>
          <w:color w:val="000000"/>
          <w:sz w:val="12"/>
          <w:szCs w:val="12"/>
          <w:lang w:eastAsia="en-GB"/>
        </w:rPr>
      </w:pPr>
    </w:p>
    <w:p w:rsidR="00C44C3A" w:rsidRDefault="00C44C3A" w:rsidP="00C44C3A">
      <w:pPr>
        <w:rPr>
          <w:rFonts w:ascii="Arial" w:hAnsi="Arial" w:cs="Arial"/>
          <w:b/>
          <w:bCs/>
          <w:color w:val="000000"/>
          <w:sz w:val="24"/>
          <w:szCs w:val="24"/>
          <w:lang w:eastAsia="en-GB"/>
        </w:rPr>
      </w:pPr>
      <w:r>
        <w:rPr>
          <w:rFonts w:ascii="Arial" w:hAnsi="Arial" w:cs="Arial"/>
          <w:sz w:val="24"/>
          <w:szCs w:val="24"/>
          <w:lang w:eastAsia="en-GB"/>
        </w:rPr>
        <w:t xml:space="preserve">All information provided in the COVID-19 bulletin is hosted online at </w:t>
      </w:r>
      <w:hyperlink r:id="rId6" w:history="1">
        <w:r>
          <w:rPr>
            <w:rStyle w:val="Hyperlink"/>
            <w:rFonts w:ascii="Arial" w:hAnsi="Arial" w:cs="Arial"/>
            <w:color w:val="0070C0"/>
            <w:sz w:val="24"/>
            <w:szCs w:val="24"/>
            <w:lang w:eastAsia="en-GB"/>
          </w:rPr>
          <w:t>https://www.valeofyorkccg.nhs.uk/rss/home/infections-and-microbiology/covid-19/</w:t>
        </w:r>
      </w:hyperlink>
    </w:p>
    <w:p w:rsidR="00C44C3A" w:rsidRDefault="00C44C3A" w:rsidP="00C44C3A">
      <w:pPr>
        <w:rPr>
          <w:rFonts w:ascii="Arial" w:hAnsi="Arial" w:cs="Arial"/>
          <w:color w:val="FF0000"/>
          <w:sz w:val="12"/>
          <w:szCs w:val="12"/>
          <w:lang w:eastAsia="en-GB"/>
        </w:rPr>
      </w:pPr>
    </w:p>
    <w:p w:rsidR="00C44C3A" w:rsidRDefault="00C44C3A" w:rsidP="00C44C3A">
      <w:pPr>
        <w:shd w:val="clear" w:color="auto" w:fill="FFFFFF"/>
        <w:rPr>
          <w:rFonts w:ascii="Arial" w:hAnsi="Arial" w:cs="Arial"/>
          <w:color w:val="231F20"/>
          <w:sz w:val="12"/>
          <w:szCs w:val="12"/>
        </w:rPr>
      </w:pPr>
    </w:p>
    <w:p w:rsidR="00C44C3A" w:rsidRDefault="00C44C3A" w:rsidP="00C44C3A">
      <w:pPr>
        <w:rPr>
          <w:rFonts w:ascii="Arial" w:hAnsi="Arial" w:cs="Arial"/>
          <w:b/>
          <w:bCs/>
          <w:color w:val="FF0000"/>
          <w:sz w:val="36"/>
          <w:szCs w:val="36"/>
          <w:lang w:eastAsia="en-GB"/>
        </w:rPr>
      </w:pPr>
      <w:r>
        <w:rPr>
          <w:rFonts w:ascii="Arial" w:hAnsi="Arial" w:cs="Arial"/>
          <w:b/>
          <w:bCs/>
          <w:color w:val="FF0000"/>
          <w:sz w:val="36"/>
          <w:szCs w:val="36"/>
          <w:lang w:eastAsia="en-GB"/>
        </w:rPr>
        <w:t>Updates to the RSS COVID-19 web page</w:t>
      </w:r>
    </w:p>
    <w:p w:rsidR="00C44C3A" w:rsidRDefault="00C44C3A" w:rsidP="00C44C3A">
      <w:pPr>
        <w:rPr>
          <w:rFonts w:ascii="Arial" w:hAnsi="Arial" w:cs="Arial"/>
          <w:b/>
          <w:bCs/>
          <w:color w:val="FF0000"/>
          <w:sz w:val="12"/>
          <w:szCs w:val="12"/>
          <w:lang w:eastAsia="en-GB"/>
        </w:rPr>
      </w:pPr>
    </w:p>
    <w:p w:rsidR="00C44C3A" w:rsidRDefault="00C44C3A" w:rsidP="00C44C3A">
      <w:pPr>
        <w:rPr>
          <w:rFonts w:ascii="Arial" w:hAnsi="Arial" w:cs="Arial"/>
          <w:color w:val="FF0000"/>
          <w:sz w:val="28"/>
          <w:szCs w:val="28"/>
        </w:rPr>
      </w:pPr>
      <w:r>
        <w:rPr>
          <w:rFonts w:ascii="Arial" w:hAnsi="Arial" w:cs="Arial"/>
          <w:color w:val="FF0000"/>
          <w:sz w:val="28"/>
          <w:szCs w:val="28"/>
        </w:rPr>
        <w:t>Pharmacy</w:t>
      </w:r>
    </w:p>
    <w:p w:rsidR="00C44C3A" w:rsidRDefault="00C44C3A" w:rsidP="00C44C3A">
      <w:pPr>
        <w:rPr>
          <w:rFonts w:ascii="Arial" w:hAnsi="Arial" w:cs="Arial"/>
          <w:color w:val="231F20"/>
          <w:sz w:val="24"/>
          <w:szCs w:val="24"/>
          <w:shd w:val="clear" w:color="auto" w:fill="FFFFFF"/>
        </w:rPr>
      </w:pPr>
      <w:hyperlink r:id="rId7" w:history="1">
        <w:r>
          <w:rPr>
            <w:rStyle w:val="Hyperlink"/>
            <w:rFonts w:ascii="Arial" w:hAnsi="Arial" w:cs="Arial"/>
            <w:color w:val="005EBC"/>
            <w:sz w:val="24"/>
            <w:szCs w:val="24"/>
            <w:u w:val="none"/>
            <w:shd w:val="clear" w:color="auto" w:fill="FFFFFF"/>
          </w:rPr>
          <w:t>Vale of York Pharmacy closures and changes of hours - latest position</w:t>
        </w:r>
      </w:hyperlink>
      <w:r>
        <w:rPr>
          <w:rFonts w:ascii="Arial" w:hAnsi="Arial" w:cs="Arial"/>
          <w:color w:val="231F20"/>
          <w:sz w:val="24"/>
          <w:szCs w:val="24"/>
          <w:shd w:val="clear" w:color="auto" w:fill="FFFFFF"/>
        </w:rPr>
        <w:t> </w:t>
      </w:r>
    </w:p>
    <w:p w:rsidR="00C44C3A" w:rsidRDefault="00C44C3A" w:rsidP="00C44C3A">
      <w:pPr>
        <w:rPr>
          <w:rFonts w:ascii="Arial" w:hAnsi="Arial" w:cs="Arial"/>
          <w:sz w:val="12"/>
          <w:szCs w:val="12"/>
        </w:rPr>
      </w:pPr>
    </w:p>
    <w:p w:rsidR="00C44C3A" w:rsidRDefault="00C44C3A" w:rsidP="00C44C3A">
      <w:pPr>
        <w:rPr>
          <w:rFonts w:ascii="Arial" w:hAnsi="Arial" w:cs="Arial"/>
          <w:color w:val="FF0000"/>
          <w:sz w:val="28"/>
          <w:szCs w:val="28"/>
        </w:rPr>
      </w:pPr>
      <w:r>
        <w:rPr>
          <w:rFonts w:ascii="Arial" w:hAnsi="Arial" w:cs="Arial"/>
          <w:color w:val="FF0000"/>
          <w:sz w:val="28"/>
          <w:szCs w:val="28"/>
        </w:rPr>
        <w:t>Mental health</w:t>
      </w:r>
    </w:p>
    <w:p w:rsidR="00C44C3A" w:rsidRDefault="00C44C3A" w:rsidP="00C44C3A">
      <w:pPr>
        <w:rPr>
          <w:rFonts w:ascii="Arial" w:hAnsi="Arial" w:cs="Arial"/>
          <w:color w:val="FF0000"/>
          <w:sz w:val="24"/>
          <w:szCs w:val="24"/>
          <w:shd w:val="clear" w:color="auto" w:fill="FFFFFF"/>
        </w:rPr>
      </w:pPr>
      <w:hyperlink r:id="rId8" w:history="1">
        <w:r>
          <w:rPr>
            <w:rStyle w:val="Hyperlink"/>
            <w:rFonts w:ascii="Arial" w:hAnsi="Arial" w:cs="Arial"/>
            <w:color w:val="005EBC"/>
            <w:sz w:val="24"/>
            <w:szCs w:val="24"/>
            <w:u w:val="none"/>
            <w:shd w:val="clear" w:color="auto" w:fill="FFFFFF"/>
          </w:rPr>
          <w:t>North Yorkshire &amp; York Mental Health All Age Crisis &amp; Support TEWV Contacts</w:t>
        </w:r>
      </w:hyperlink>
      <w:r>
        <w:rPr>
          <w:rFonts w:ascii="Arial" w:hAnsi="Arial" w:cs="Arial"/>
          <w:color w:val="231F20"/>
          <w:sz w:val="24"/>
          <w:szCs w:val="24"/>
          <w:shd w:val="clear" w:color="auto" w:fill="FFFFFF"/>
        </w:rPr>
        <w:t> </w:t>
      </w:r>
      <w:r>
        <w:rPr>
          <w:rFonts w:ascii="Arial" w:hAnsi="Arial" w:cs="Arial"/>
          <w:color w:val="FF0000"/>
          <w:sz w:val="24"/>
          <w:szCs w:val="24"/>
          <w:shd w:val="clear" w:color="auto" w:fill="FFFFFF"/>
        </w:rPr>
        <w:t>(only available via N3 connection)</w:t>
      </w:r>
    </w:p>
    <w:p w:rsidR="00C44C3A" w:rsidRDefault="00C44C3A" w:rsidP="00C44C3A">
      <w:pPr>
        <w:rPr>
          <w:rFonts w:ascii="Arial" w:hAnsi="Arial" w:cs="Arial"/>
          <w:sz w:val="12"/>
          <w:szCs w:val="12"/>
        </w:rPr>
      </w:pPr>
    </w:p>
    <w:p w:rsidR="00C44C3A" w:rsidRDefault="00C44C3A" w:rsidP="00C44C3A">
      <w:pPr>
        <w:rPr>
          <w:rFonts w:ascii="Arial" w:hAnsi="Arial" w:cs="Arial"/>
          <w:color w:val="FF0000"/>
          <w:sz w:val="28"/>
          <w:szCs w:val="28"/>
        </w:rPr>
      </w:pPr>
      <w:r>
        <w:rPr>
          <w:rFonts w:ascii="Arial" w:hAnsi="Arial" w:cs="Arial"/>
          <w:color w:val="FF0000"/>
          <w:sz w:val="28"/>
          <w:szCs w:val="28"/>
        </w:rPr>
        <w:t>Volunteer responders</w:t>
      </w:r>
    </w:p>
    <w:p w:rsidR="00C44C3A" w:rsidRDefault="00C44C3A" w:rsidP="00C44C3A">
      <w:pPr>
        <w:rPr>
          <w:rFonts w:ascii="Arial" w:hAnsi="Arial" w:cs="Arial"/>
          <w:color w:val="231F20"/>
          <w:sz w:val="24"/>
          <w:szCs w:val="24"/>
          <w:shd w:val="clear" w:color="auto" w:fill="FFFFFF"/>
        </w:rPr>
      </w:pPr>
      <w:hyperlink r:id="rId9" w:history="1">
        <w:r>
          <w:rPr>
            <w:rStyle w:val="Hyperlink"/>
            <w:rFonts w:ascii="Arial" w:hAnsi="Arial" w:cs="Arial"/>
            <w:color w:val="005EBC"/>
            <w:sz w:val="24"/>
            <w:szCs w:val="24"/>
            <w:u w:val="none"/>
            <w:shd w:val="clear" w:color="auto" w:fill="FFFFFF"/>
          </w:rPr>
          <w:t>NHS Volunteer responders: referrals</w:t>
        </w:r>
      </w:hyperlink>
      <w:r>
        <w:rPr>
          <w:rFonts w:ascii="Arial" w:hAnsi="Arial" w:cs="Arial"/>
          <w:color w:val="231F20"/>
          <w:sz w:val="24"/>
          <w:szCs w:val="24"/>
          <w:shd w:val="clear" w:color="auto" w:fill="FFFFFF"/>
        </w:rPr>
        <w:t> </w:t>
      </w:r>
    </w:p>
    <w:p w:rsidR="00C44C3A" w:rsidRDefault="00C44C3A" w:rsidP="00C44C3A">
      <w:pPr>
        <w:rPr>
          <w:rFonts w:ascii="Arial" w:hAnsi="Arial" w:cs="Arial"/>
          <w:sz w:val="12"/>
          <w:szCs w:val="12"/>
        </w:rPr>
      </w:pPr>
    </w:p>
    <w:p w:rsidR="00C44C3A" w:rsidRDefault="00C44C3A" w:rsidP="00C44C3A">
      <w:pPr>
        <w:rPr>
          <w:rFonts w:ascii="Arial" w:hAnsi="Arial" w:cs="Arial"/>
          <w:b/>
          <w:bCs/>
          <w:color w:val="FF0000"/>
          <w:sz w:val="12"/>
          <w:szCs w:val="12"/>
        </w:rPr>
      </w:pPr>
    </w:p>
    <w:p w:rsidR="00C44C3A" w:rsidRDefault="00C44C3A" w:rsidP="00C44C3A">
      <w:pPr>
        <w:rPr>
          <w:rFonts w:ascii="Arial" w:hAnsi="Arial" w:cs="Arial"/>
          <w:b/>
          <w:bCs/>
          <w:color w:val="FF0000"/>
          <w:sz w:val="36"/>
          <w:szCs w:val="36"/>
        </w:rPr>
      </w:pPr>
      <w:r>
        <w:rPr>
          <w:rFonts w:ascii="Arial" w:hAnsi="Arial" w:cs="Arial"/>
          <w:b/>
          <w:bCs/>
          <w:color w:val="FF0000"/>
          <w:sz w:val="36"/>
          <w:szCs w:val="36"/>
        </w:rPr>
        <w:lastRenderedPageBreak/>
        <w:t>Imaging / Radiology</w:t>
      </w:r>
    </w:p>
    <w:p w:rsidR="00C44C3A" w:rsidRDefault="00C44C3A" w:rsidP="00C44C3A">
      <w:pPr>
        <w:rPr>
          <w:rFonts w:ascii="Arial" w:hAnsi="Arial" w:cs="Arial"/>
          <w:sz w:val="24"/>
          <w:szCs w:val="24"/>
        </w:rPr>
      </w:pPr>
      <w:r>
        <w:rPr>
          <w:rFonts w:ascii="Arial" w:hAnsi="Arial" w:cs="Arial"/>
          <w:sz w:val="24"/>
          <w:szCs w:val="24"/>
        </w:rPr>
        <w:t xml:space="preserve">YTHFT is working to respond to the Second Phase of NHS Response to COVID letter (29/4/20) and will clarify </w:t>
      </w:r>
      <w:proofErr w:type="gramStart"/>
      <w:r>
        <w:rPr>
          <w:rFonts w:ascii="Arial" w:hAnsi="Arial" w:cs="Arial"/>
          <w:sz w:val="24"/>
          <w:szCs w:val="24"/>
        </w:rPr>
        <w:t>asap</w:t>
      </w:r>
      <w:proofErr w:type="gramEnd"/>
      <w:r>
        <w:rPr>
          <w:rFonts w:ascii="Arial" w:hAnsi="Arial" w:cs="Arial"/>
          <w:sz w:val="24"/>
          <w:szCs w:val="24"/>
        </w:rPr>
        <w:t xml:space="preserve"> when they can re-start direct access x-ray and provide increased capacity for other imaging and radiology </w:t>
      </w:r>
      <w:r>
        <w:rPr>
          <w:rFonts w:ascii="Arial" w:hAnsi="Arial" w:cs="Arial"/>
          <w:b/>
          <w:bCs/>
          <w:sz w:val="24"/>
          <w:szCs w:val="24"/>
        </w:rPr>
        <w:t xml:space="preserve">safely </w:t>
      </w:r>
      <w:r>
        <w:rPr>
          <w:rFonts w:ascii="Arial" w:hAnsi="Arial" w:cs="Arial"/>
          <w:sz w:val="24"/>
          <w:szCs w:val="24"/>
        </w:rPr>
        <w:t>for their staff and patients.</w:t>
      </w:r>
    </w:p>
    <w:p w:rsidR="00C44C3A" w:rsidRDefault="00C44C3A" w:rsidP="00C44C3A">
      <w:pPr>
        <w:rPr>
          <w:rFonts w:ascii="Arial" w:hAnsi="Arial" w:cs="Arial"/>
          <w:sz w:val="24"/>
          <w:szCs w:val="24"/>
        </w:rPr>
      </w:pPr>
    </w:p>
    <w:p w:rsidR="00C44C3A" w:rsidRDefault="00C44C3A" w:rsidP="00C44C3A">
      <w:pPr>
        <w:rPr>
          <w:rFonts w:cs="Calibri"/>
          <w:b/>
          <w:bCs/>
          <w:lang w:val="en-US" w:eastAsia="en-GB"/>
        </w:rPr>
      </w:pPr>
      <w:r>
        <w:rPr>
          <w:rFonts w:ascii="Arial" w:hAnsi="Arial" w:cs="Arial"/>
          <w:sz w:val="24"/>
          <w:szCs w:val="24"/>
        </w:rPr>
        <w:t xml:space="preserve">In the meantime all direct access to plain film (x-ray) </w:t>
      </w:r>
      <w:r>
        <w:rPr>
          <w:rFonts w:ascii="Arial" w:hAnsi="Arial" w:cs="Arial"/>
          <w:b/>
          <w:bCs/>
          <w:sz w:val="24"/>
          <w:szCs w:val="24"/>
        </w:rPr>
        <w:t>is closed</w:t>
      </w:r>
      <w:r>
        <w:rPr>
          <w:rFonts w:ascii="Arial" w:hAnsi="Arial" w:cs="Arial"/>
          <w:sz w:val="24"/>
          <w:szCs w:val="24"/>
        </w:rPr>
        <w:t xml:space="preserve"> and electronic referrals for X-rays need to be sent through for a booked appointment. There are still some patients arriving at x-ray without a booked appointment and this creates a potential infection control risk for both patients and staff. Please minimise requests for imaging to essential and urgent requests wherever possible.</w:t>
      </w:r>
    </w:p>
    <w:p w:rsidR="00C44C3A" w:rsidRDefault="00C44C3A" w:rsidP="00C44C3A">
      <w:pPr>
        <w:rPr>
          <w:rFonts w:ascii="Arial" w:hAnsi="Arial" w:cs="Arial"/>
          <w:color w:val="000000"/>
          <w:sz w:val="24"/>
          <w:szCs w:val="24"/>
          <w:lang w:eastAsia="en-GB"/>
        </w:rPr>
      </w:pPr>
    </w:p>
    <w:p w:rsidR="00C44C3A" w:rsidRDefault="00C44C3A" w:rsidP="00C44C3A">
      <w:pPr>
        <w:rPr>
          <w:rFonts w:ascii="Arial" w:hAnsi="Arial" w:cs="Arial"/>
          <w:b/>
          <w:bCs/>
          <w:color w:val="FF0000"/>
          <w:sz w:val="36"/>
          <w:szCs w:val="36"/>
        </w:rPr>
      </w:pPr>
      <w:r>
        <w:rPr>
          <w:rFonts w:ascii="Arial" w:hAnsi="Arial" w:cs="Arial"/>
          <w:b/>
          <w:bCs/>
          <w:color w:val="FF0000"/>
          <w:sz w:val="36"/>
          <w:szCs w:val="36"/>
        </w:rPr>
        <w:t xml:space="preserve">Medicines and prescribing </w:t>
      </w:r>
    </w:p>
    <w:p w:rsidR="00C44C3A" w:rsidRDefault="00C44C3A" w:rsidP="00C44C3A">
      <w:pPr>
        <w:rPr>
          <w:rFonts w:ascii="Arial" w:hAnsi="Arial" w:cs="Arial"/>
          <w:sz w:val="12"/>
          <w:szCs w:val="12"/>
        </w:rPr>
      </w:pPr>
    </w:p>
    <w:p w:rsidR="00C44C3A" w:rsidRDefault="00C44C3A" w:rsidP="00C44C3A">
      <w:pPr>
        <w:rPr>
          <w:rFonts w:ascii="Arial" w:hAnsi="Arial" w:cs="Arial"/>
          <w:b/>
          <w:bCs/>
          <w:sz w:val="24"/>
          <w:szCs w:val="24"/>
        </w:rPr>
      </w:pPr>
      <w:r>
        <w:rPr>
          <w:rFonts w:ascii="Arial" w:hAnsi="Arial" w:cs="Arial"/>
          <w:b/>
          <w:bCs/>
          <w:color w:val="FF0000"/>
          <w:sz w:val="24"/>
          <w:szCs w:val="24"/>
        </w:rPr>
        <w:t>Valproate Pregnancy Prevention Programme</w:t>
      </w:r>
    </w:p>
    <w:p w:rsidR="00C44C3A" w:rsidRDefault="00C44C3A" w:rsidP="00C44C3A">
      <w:pPr>
        <w:rPr>
          <w:rFonts w:ascii="Arial" w:hAnsi="Arial" w:cs="Arial"/>
          <w:sz w:val="12"/>
          <w:szCs w:val="12"/>
        </w:rPr>
      </w:pPr>
    </w:p>
    <w:p w:rsidR="00C44C3A" w:rsidRDefault="00C44C3A" w:rsidP="00C44C3A">
      <w:pPr>
        <w:rPr>
          <w:rFonts w:ascii="Arial" w:hAnsi="Arial" w:cs="Arial"/>
          <w:sz w:val="24"/>
          <w:szCs w:val="24"/>
        </w:rPr>
      </w:pPr>
      <w:r>
        <w:rPr>
          <w:rFonts w:ascii="Arial" w:hAnsi="Arial" w:cs="Arial"/>
          <w:sz w:val="24"/>
          <w:szCs w:val="24"/>
        </w:rPr>
        <w:t xml:space="preserve">MHRA has provided </w:t>
      </w:r>
      <w:hyperlink r:id="rId10" w:history="1">
        <w:r>
          <w:rPr>
            <w:rStyle w:val="Hyperlink"/>
            <w:rFonts w:ascii="Arial" w:hAnsi="Arial" w:cs="Arial"/>
            <w:color w:val="0563C1"/>
            <w:sz w:val="24"/>
            <w:szCs w:val="24"/>
          </w:rPr>
          <w:t>temporary advice for the management of the valproate pregnancy prevention programme during Covid-19</w:t>
        </w:r>
      </w:hyperlink>
      <w:r>
        <w:rPr>
          <w:rFonts w:ascii="Arial" w:hAnsi="Arial" w:cs="Arial"/>
          <w:sz w:val="24"/>
          <w:szCs w:val="24"/>
        </w:rPr>
        <w:t>. This guidance has also been sent to relevant secondary care colleagues.</w:t>
      </w:r>
    </w:p>
    <w:p w:rsidR="00C44C3A" w:rsidRDefault="00C44C3A" w:rsidP="00C44C3A">
      <w:pPr>
        <w:rPr>
          <w:rFonts w:ascii="Arial" w:hAnsi="Arial" w:cs="Arial"/>
          <w:sz w:val="12"/>
          <w:szCs w:val="12"/>
        </w:rPr>
      </w:pPr>
    </w:p>
    <w:p w:rsidR="00C44C3A" w:rsidRDefault="00C44C3A" w:rsidP="00C44C3A">
      <w:pPr>
        <w:rPr>
          <w:rFonts w:ascii="Arial" w:hAnsi="Arial" w:cs="Arial"/>
          <w:b/>
          <w:bCs/>
          <w:color w:val="FF0000"/>
          <w:sz w:val="24"/>
          <w:szCs w:val="24"/>
        </w:rPr>
      </w:pPr>
      <w:r>
        <w:rPr>
          <w:rFonts w:ascii="Arial" w:hAnsi="Arial" w:cs="Arial"/>
          <w:b/>
          <w:bCs/>
          <w:color w:val="FF0000"/>
          <w:sz w:val="24"/>
          <w:szCs w:val="24"/>
        </w:rPr>
        <w:t xml:space="preserve">Drug Monitoring </w:t>
      </w:r>
    </w:p>
    <w:p w:rsidR="00C44C3A" w:rsidRDefault="00C44C3A" w:rsidP="00C44C3A">
      <w:pPr>
        <w:rPr>
          <w:rFonts w:ascii="Arial" w:hAnsi="Arial" w:cs="Arial"/>
          <w:sz w:val="12"/>
          <w:szCs w:val="12"/>
        </w:rPr>
      </w:pPr>
    </w:p>
    <w:p w:rsidR="00C44C3A" w:rsidRDefault="00C44C3A" w:rsidP="00C44C3A">
      <w:pPr>
        <w:rPr>
          <w:rFonts w:ascii="Arial" w:hAnsi="Arial" w:cs="Arial"/>
          <w:sz w:val="24"/>
          <w:szCs w:val="24"/>
        </w:rPr>
      </w:pPr>
      <w:r>
        <w:rPr>
          <w:rFonts w:ascii="Arial" w:hAnsi="Arial" w:cs="Arial"/>
          <w:sz w:val="24"/>
          <w:szCs w:val="24"/>
        </w:rPr>
        <w:t>Please continue to refer to the NHS Specialist Pharmacy Services website regarding guidance/advice on extending the monitoring period of certain medicines. The website was last updated 28.04.2020. A username and password is required to access SPS.  </w:t>
      </w:r>
    </w:p>
    <w:p w:rsidR="00C44C3A" w:rsidRDefault="00C44C3A" w:rsidP="00C44C3A">
      <w:pPr>
        <w:rPr>
          <w:rFonts w:ascii="Arial" w:hAnsi="Arial" w:cs="Arial"/>
          <w:sz w:val="24"/>
          <w:szCs w:val="24"/>
        </w:rPr>
      </w:pPr>
      <w:hyperlink r:id="rId11" w:history="1">
        <w:r>
          <w:rPr>
            <w:rStyle w:val="Hyperlink"/>
            <w:rFonts w:ascii="Arial" w:hAnsi="Arial" w:cs="Arial"/>
            <w:color w:val="0563C1"/>
            <w:sz w:val="24"/>
            <w:szCs w:val="24"/>
          </w:rPr>
          <w:t>https://www.sps.nhs.uk/articles/drug-monitoring-in-primary-care-for-stable-patients-during-covid-19/</w:t>
        </w:r>
      </w:hyperlink>
    </w:p>
    <w:p w:rsidR="00C44C3A" w:rsidRDefault="00C44C3A" w:rsidP="00C44C3A">
      <w:pPr>
        <w:rPr>
          <w:rFonts w:ascii="Arial" w:hAnsi="Arial" w:cs="Arial"/>
          <w:sz w:val="24"/>
          <w:szCs w:val="24"/>
        </w:rPr>
      </w:pPr>
    </w:p>
    <w:p w:rsidR="00C44C3A" w:rsidRDefault="00C44C3A" w:rsidP="00C44C3A">
      <w:pPr>
        <w:rPr>
          <w:rFonts w:ascii="Arial" w:hAnsi="Arial" w:cs="Arial"/>
          <w:sz w:val="24"/>
          <w:szCs w:val="24"/>
        </w:rPr>
      </w:pPr>
      <w:r>
        <w:rPr>
          <w:rFonts w:ascii="Arial" w:hAnsi="Arial" w:cs="Arial"/>
          <w:b/>
          <w:bCs/>
          <w:color w:val="FF0000"/>
          <w:sz w:val="24"/>
          <w:szCs w:val="24"/>
        </w:rPr>
        <w:t>Guidance on dealing with patient-returned / unwanted medicines</w:t>
      </w:r>
    </w:p>
    <w:p w:rsidR="00C44C3A" w:rsidRDefault="00C44C3A" w:rsidP="00C44C3A">
      <w:pPr>
        <w:rPr>
          <w:rFonts w:ascii="Arial" w:hAnsi="Arial" w:cs="Arial"/>
          <w:sz w:val="12"/>
          <w:szCs w:val="12"/>
        </w:rPr>
      </w:pPr>
    </w:p>
    <w:p w:rsidR="00C44C3A" w:rsidRDefault="00C44C3A" w:rsidP="00C44C3A">
      <w:pPr>
        <w:rPr>
          <w:rFonts w:ascii="Arial" w:hAnsi="Arial" w:cs="Arial"/>
          <w:sz w:val="24"/>
          <w:szCs w:val="24"/>
        </w:rPr>
      </w:pPr>
      <w:r>
        <w:rPr>
          <w:rFonts w:ascii="Arial" w:hAnsi="Arial" w:cs="Arial"/>
          <w:sz w:val="24"/>
          <w:szCs w:val="24"/>
        </w:rPr>
        <w:t xml:space="preserve">Community Pharmacies have been issued with </w:t>
      </w:r>
      <w:hyperlink r:id="rId12" w:history="1">
        <w:r>
          <w:rPr>
            <w:rStyle w:val="Hyperlink"/>
            <w:rFonts w:ascii="Arial" w:hAnsi="Arial" w:cs="Arial"/>
            <w:color w:val="0563C1"/>
            <w:sz w:val="24"/>
            <w:szCs w:val="24"/>
          </w:rPr>
          <w:t>guidance on how to deal with patient returned medicines</w:t>
        </w:r>
      </w:hyperlink>
      <w:r>
        <w:rPr>
          <w:rFonts w:ascii="Arial" w:hAnsi="Arial" w:cs="Arial"/>
          <w:sz w:val="24"/>
          <w:szCs w:val="24"/>
        </w:rPr>
        <w:t xml:space="preserve">. This is being sent to all Community Pharmacies in North Yorkshire and York (7 May). Recent infection control issues have required changes </w:t>
      </w:r>
      <w:r>
        <w:rPr>
          <w:rFonts w:ascii="Arial" w:hAnsi="Arial" w:cs="Arial"/>
          <w:sz w:val="24"/>
          <w:szCs w:val="24"/>
        </w:rPr>
        <w:lastRenderedPageBreak/>
        <w:t xml:space="preserve">to the guidance in how this is managed safely. We appreciate GP practices are often asked about this and they should now be able to advise patients with confidence that they can contact their regular Community Pharmacy for this purpose.  Dispensing doctors may wish to consider this guidance for medicines returned by their dispensing patients. </w:t>
      </w:r>
    </w:p>
    <w:p w:rsidR="00C44C3A" w:rsidRDefault="00C44C3A" w:rsidP="00C44C3A">
      <w:pPr>
        <w:rPr>
          <w:rFonts w:cs="Calibri"/>
          <w:color w:val="FF0000"/>
          <w:sz w:val="12"/>
          <w:szCs w:val="12"/>
        </w:rPr>
      </w:pPr>
    </w:p>
    <w:p w:rsidR="00C44C3A" w:rsidRDefault="00C44C3A" w:rsidP="00C44C3A">
      <w:pPr>
        <w:rPr>
          <w:rFonts w:ascii="Arial" w:hAnsi="Arial" w:cs="Arial"/>
          <w:b/>
          <w:bCs/>
          <w:color w:val="FF0000"/>
          <w:sz w:val="24"/>
          <w:szCs w:val="24"/>
        </w:rPr>
      </w:pPr>
      <w:r>
        <w:rPr>
          <w:rFonts w:ascii="Arial" w:hAnsi="Arial" w:cs="Arial"/>
          <w:b/>
          <w:bCs/>
          <w:color w:val="FF0000"/>
          <w:sz w:val="24"/>
          <w:szCs w:val="24"/>
        </w:rPr>
        <w:t xml:space="preserve">Ranitidine, Sulfasalazine oral suspension and </w:t>
      </w:r>
      <w:proofErr w:type="spellStart"/>
      <w:r>
        <w:rPr>
          <w:rFonts w:ascii="Arial" w:hAnsi="Arial" w:cs="Arial"/>
          <w:b/>
          <w:bCs/>
          <w:color w:val="FF0000"/>
          <w:sz w:val="24"/>
          <w:szCs w:val="24"/>
        </w:rPr>
        <w:t>Propantheline</w:t>
      </w:r>
      <w:proofErr w:type="spellEnd"/>
      <w:r>
        <w:rPr>
          <w:rFonts w:ascii="Arial" w:hAnsi="Arial" w:cs="Arial"/>
          <w:b/>
          <w:bCs/>
          <w:color w:val="FF0000"/>
          <w:sz w:val="24"/>
          <w:szCs w:val="24"/>
        </w:rPr>
        <w:t xml:space="preserve"> Shortages</w:t>
      </w:r>
    </w:p>
    <w:p w:rsidR="00C44C3A" w:rsidRDefault="00C44C3A" w:rsidP="00C44C3A">
      <w:pPr>
        <w:rPr>
          <w:rFonts w:ascii="Arial" w:hAnsi="Arial" w:cs="Arial"/>
          <w:sz w:val="12"/>
          <w:szCs w:val="12"/>
        </w:rPr>
      </w:pPr>
    </w:p>
    <w:p w:rsidR="00C44C3A" w:rsidRDefault="00C44C3A" w:rsidP="00C44C3A">
      <w:pPr>
        <w:rPr>
          <w:rFonts w:ascii="Arial" w:hAnsi="Arial" w:cs="Arial"/>
          <w:sz w:val="24"/>
          <w:szCs w:val="24"/>
        </w:rPr>
      </w:pPr>
      <w:hyperlink r:id="rId13" w:history="1">
        <w:r>
          <w:rPr>
            <w:rStyle w:val="Hyperlink"/>
            <w:rFonts w:ascii="Arial" w:hAnsi="Arial" w:cs="Arial"/>
            <w:sz w:val="24"/>
            <w:szCs w:val="24"/>
          </w:rPr>
          <w:t>Medicine supply notification: Sulfasalazine oral suspension</w:t>
        </w:r>
      </w:hyperlink>
      <w:r>
        <w:rPr>
          <w:rFonts w:ascii="Arial" w:hAnsi="Arial" w:cs="Arial"/>
          <w:sz w:val="24"/>
          <w:szCs w:val="24"/>
        </w:rPr>
        <w:t> </w:t>
      </w:r>
    </w:p>
    <w:p w:rsidR="00C44C3A" w:rsidRDefault="00C44C3A" w:rsidP="00C44C3A">
      <w:pPr>
        <w:rPr>
          <w:rFonts w:ascii="Arial" w:hAnsi="Arial" w:cs="Arial"/>
          <w:sz w:val="24"/>
          <w:szCs w:val="24"/>
        </w:rPr>
      </w:pPr>
      <w:hyperlink r:id="rId14" w:history="1">
        <w:r>
          <w:rPr>
            <w:rStyle w:val="Hyperlink"/>
            <w:rFonts w:ascii="Arial" w:hAnsi="Arial" w:cs="Arial"/>
            <w:sz w:val="24"/>
            <w:szCs w:val="24"/>
          </w:rPr>
          <w:t>Medicine supply notification: </w:t>
        </w:r>
        <w:proofErr w:type="spellStart"/>
        <w:r>
          <w:rPr>
            <w:rStyle w:val="Hyperlink"/>
            <w:rFonts w:ascii="Arial" w:hAnsi="Arial" w:cs="Arial"/>
            <w:sz w:val="24"/>
            <w:szCs w:val="24"/>
          </w:rPr>
          <w:t>Propantheline</w:t>
        </w:r>
        <w:proofErr w:type="spellEnd"/>
      </w:hyperlink>
      <w:r>
        <w:rPr>
          <w:rFonts w:ascii="Arial" w:hAnsi="Arial" w:cs="Arial"/>
          <w:sz w:val="24"/>
          <w:szCs w:val="24"/>
        </w:rPr>
        <w:t> </w:t>
      </w:r>
    </w:p>
    <w:p w:rsidR="00C44C3A" w:rsidRDefault="00C44C3A" w:rsidP="00C44C3A">
      <w:pPr>
        <w:rPr>
          <w:rFonts w:ascii="Arial" w:hAnsi="Arial" w:cs="Arial"/>
          <w:sz w:val="24"/>
          <w:szCs w:val="24"/>
        </w:rPr>
      </w:pPr>
      <w:hyperlink r:id="rId15" w:history="1">
        <w:r>
          <w:rPr>
            <w:rStyle w:val="Hyperlink"/>
            <w:rFonts w:ascii="Arial" w:hAnsi="Arial" w:cs="Arial"/>
            <w:sz w:val="24"/>
            <w:szCs w:val="24"/>
          </w:rPr>
          <w:t>Medicine supply notification: Ranitidine - All formulations</w:t>
        </w:r>
      </w:hyperlink>
      <w:r>
        <w:rPr>
          <w:rFonts w:ascii="Arial" w:hAnsi="Arial" w:cs="Arial"/>
          <w:sz w:val="24"/>
          <w:szCs w:val="24"/>
        </w:rPr>
        <w:t> </w:t>
      </w:r>
    </w:p>
    <w:p w:rsidR="007E000D" w:rsidRDefault="00C44C3A">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74587"/>
    <w:multiLevelType w:val="hybridMultilevel"/>
    <w:tmpl w:val="0C8EFC0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DFC7FB9"/>
    <w:multiLevelType w:val="hybridMultilevel"/>
    <w:tmpl w:val="639E35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C3A"/>
    <w:rsid w:val="00196207"/>
    <w:rsid w:val="008422C7"/>
    <w:rsid w:val="00C44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44C3A"/>
    <w:rPr>
      <w:color w:val="0000FF"/>
      <w:u w:val="single"/>
    </w:rPr>
  </w:style>
  <w:style w:type="paragraph" w:styleId="ListParagraph">
    <w:name w:val="List Paragraph"/>
    <w:basedOn w:val="Normal"/>
    <w:uiPriority w:val="34"/>
    <w:qFormat/>
    <w:rsid w:val="00C44C3A"/>
    <w:pPr>
      <w:spacing w:after="0" w:line="240" w:lineRule="auto"/>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44C3A"/>
    <w:rPr>
      <w:color w:val="0000FF"/>
      <w:u w:val="single"/>
    </w:rPr>
  </w:style>
  <w:style w:type="paragraph" w:styleId="ListParagraph">
    <w:name w:val="List Paragraph"/>
    <w:basedOn w:val="Normal"/>
    <w:uiPriority w:val="34"/>
    <w:qFormat/>
    <w:rsid w:val="00C44C3A"/>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yrss.necsu.nhs.uk/tewv-partners-north-yorkshire-york-contact-details.pdf" TargetMode="External"/><Relationship Id="rId13" Type="http://schemas.openxmlformats.org/officeDocument/2006/relationships/hyperlink" Target="https://www.valeofyorkccg.nhs.uk/seecmsfile/?id=3884&amp;inline=1&amp;inline=1&amp;inline=1&amp;inline=1" TargetMode="External"/><Relationship Id="rId3" Type="http://schemas.microsoft.com/office/2007/relationships/stylesWithEffects" Target="stylesWithEffects.xml"/><Relationship Id="rId7" Type="http://schemas.openxmlformats.org/officeDocument/2006/relationships/hyperlink" Target="https://www.valeofyorkccg.nhs.uk/seecmsfile/?id=3632&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 TargetMode="External"/><Relationship Id="rId12" Type="http://schemas.openxmlformats.org/officeDocument/2006/relationships/hyperlink" Target="https://www.npa.co.uk/wp-content/uploads/2020/05/COVID-19-guidance-on-dealing-with-patient-returned-medicines-ENGLAND-May-2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11" Type="http://schemas.openxmlformats.org/officeDocument/2006/relationships/hyperlink" Target="https://www.sps.nhs.uk/articles/drug-monitoring-in-primary-care-for-stable-patients-during-covid-19/" TargetMode="External"/><Relationship Id="rId5" Type="http://schemas.openxmlformats.org/officeDocument/2006/relationships/webSettings" Target="webSettings.xml"/><Relationship Id="rId15" Type="http://schemas.openxmlformats.org/officeDocument/2006/relationships/hyperlink" Target="https://www.valeofyorkccg.nhs.uk/seecmsfile/?id=3883&amp;inline=1&amp;inline=1&amp;inline=1&amp;inline=1" TargetMode="External"/><Relationship Id="rId10" Type="http://schemas.openxmlformats.org/officeDocument/2006/relationships/hyperlink" Target="https://www.gov.uk/guidance/valproate-pregnancy-prevention-programme-temporary-advice-for-management-during-coronavirus-covid-19" TargetMode="External"/><Relationship Id="rId4" Type="http://schemas.openxmlformats.org/officeDocument/2006/relationships/settings" Target="settings.xml"/><Relationship Id="rId9" Type="http://schemas.openxmlformats.org/officeDocument/2006/relationships/hyperlink" Target="https://www.valeofyorkccg.nhs.uk/seecmsfile/?id=3887&amp;inline=1&amp;inline=1&amp;inline=1" TargetMode="External"/><Relationship Id="rId14" Type="http://schemas.openxmlformats.org/officeDocument/2006/relationships/hyperlink" Target="https://www.valeofyorkccg.nhs.uk/seecmsfile/?id=3885&amp;inline=1&amp;inline=1&amp;inline=1&amp;inlin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2020-05-13T14:35:00Z</dcterms:created>
  <dcterms:modified xsi:type="dcterms:W3CDTF">2020-05-13T14:36:00Z</dcterms:modified>
</cp:coreProperties>
</file>